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42D3" w14:textId="6B46E4FF" w:rsidR="00F55E56" w:rsidRPr="00EF5837" w:rsidRDefault="00F55E56" w:rsidP="00F55E56">
      <w:pPr>
        <w:pStyle w:val="Subtitle"/>
        <w:spacing w:after="0" w:line="240" w:lineRule="auto"/>
        <w:ind w:left="709" w:right="414"/>
        <w:jc w:val="center"/>
        <w:rPr>
          <w:rFonts w:ascii="Book Antiqua" w:hAnsi="Book Antiqua"/>
          <w:b/>
          <w:i w:val="0"/>
          <w:color w:val="auto"/>
          <w:sz w:val="22"/>
          <w:szCs w:val="22"/>
        </w:rPr>
      </w:pPr>
      <w:r w:rsidRPr="00EF5837">
        <w:rPr>
          <w:rFonts w:ascii="Book Antiqua" w:hAnsi="Book Antiqua"/>
          <w:b/>
          <w:i w:val="0"/>
          <w:color w:val="auto"/>
          <w:sz w:val="22"/>
          <w:szCs w:val="22"/>
        </w:rPr>
        <w:t xml:space="preserve">BEFORE THE HON’BLE </w:t>
      </w:r>
    </w:p>
    <w:p w14:paraId="15A763E2" w14:textId="77777777" w:rsidR="00F55E56" w:rsidRPr="00EF5837" w:rsidRDefault="00F55E56" w:rsidP="00F55E56">
      <w:pPr>
        <w:pStyle w:val="Subtitle"/>
        <w:spacing w:after="0" w:line="240" w:lineRule="auto"/>
        <w:ind w:left="709" w:right="414"/>
        <w:jc w:val="center"/>
        <w:rPr>
          <w:rFonts w:ascii="Book Antiqua" w:hAnsi="Book Antiqua"/>
          <w:b/>
          <w:i w:val="0"/>
          <w:color w:val="auto"/>
          <w:sz w:val="22"/>
          <w:szCs w:val="22"/>
        </w:rPr>
      </w:pPr>
      <w:r w:rsidRPr="00EF5837">
        <w:rPr>
          <w:rFonts w:ascii="Book Antiqua" w:hAnsi="Book Antiqua"/>
          <w:b/>
          <w:i w:val="0"/>
          <w:color w:val="auto"/>
          <w:sz w:val="22"/>
          <w:szCs w:val="22"/>
        </w:rPr>
        <w:t>ODISHA ELECTRICITY REGULATORY COMMISSION</w:t>
      </w:r>
    </w:p>
    <w:p w14:paraId="51AF96AA" w14:textId="77777777" w:rsidR="00F55E56" w:rsidRPr="00EF5837" w:rsidRDefault="00F55E56" w:rsidP="00F55E56">
      <w:pPr>
        <w:spacing w:after="0" w:line="240" w:lineRule="auto"/>
        <w:ind w:left="709" w:right="414"/>
        <w:jc w:val="center"/>
        <w:rPr>
          <w:rFonts w:ascii="Book Antiqua" w:hAnsi="Book Antiqua"/>
          <w:b/>
        </w:rPr>
      </w:pPr>
      <w:r w:rsidRPr="00EF5837">
        <w:rPr>
          <w:rFonts w:ascii="Book Antiqua" w:hAnsi="Book Antiqua"/>
          <w:b/>
        </w:rPr>
        <w:t>BIDYUT NIYAMAK BHAWAN</w:t>
      </w:r>
    </w:p>
    <w:p w14:paraId="5833CF20" w14:textId="77777777" w:rsidR="00F55E56" w:rsidRPr="00EF5837" w:rsidRDefault="00F55E56" w:rsidP="00F55E56">
      <w:pPr>
        <w:spacing w:after="0" w:line="240" w:lineRule="auto"/>
        <w:ind w:left="709" w:right="414"/>
        <w:jc w:val="center"/>
        <w:rPr>
          <w:rFonts w:ascii="Book Antiqua" w:hAnsi="Book Antiqua"/>
          <w:b/>
          <w:u w:val="single"/>
        </w:rPr>
      </w:pPr>
      <w:r w:rsidRPr="00EF5837">
        <w:rPr>
          <w:rFonts w:ascii="Book Antiqua" w:hAnsi="Book Antiqua"/>
          <w:b/>
        </w:rPr>
        <w:t>PLOT NO.4, CHUNOKOLI, SHAILASHREE VIHAR, CHANDRASEKHARPUR, BHUBANESWAR-751021</w:t>
      </w:r>
    </w:p>
    <w:p w14:paraId="569DD085" w14:textId="77777777" w:rsidR="00F55E56" w:rsidRPr="00EF5837" w:rsidRDefault="00F55E56" w:rsidP="00F55E56">
      <w:pPr>
        <w:spacing w:after="0" w:line="240" w:lineRule="auto"/>
        <w:ind w:left="709" w:right="414"/>
        <w:rPr>
          <w:rFonts w:ascii="Book Antiqua" w:hAnsi="Book Antiqua"/>
        </w:rPr>
      </w:pPr>
    </w:p>
    <w:p w14:paraId="7F556C9B" w14:textId="20A1C73A" w:rsidR="00F55E56" w:rsidRPr="00EF5837" w:rsidRDefault="00F55E56" w:rsidP="00BB08ED">
      <w:pPr>
        <w:spacing w:after="0" w:line="240" w:lineRule="auto"/>
        <w:ind w:left="709" w:right="414"/>
        <w:jc w:val="right"/>
        <w:rPr>
          <w:rFonts w:ascii="Book Antiqua" w:hAnsi="Book Antiqua"/>
          <w:b/>
        </w:rPr>
      </w:pPr>
      <w:r w:rsidRPr="00EF5837">
        <w:rPr>
          <w:rFonts w:ascii="Book Antiqua" w:hAnsi="Book Antiqua"/>
          <w:b/>
        </w:rPr>
        <w:t>Case No</w:t>
      </w:r>
      <w:r w:rsidR="00362415">
        <w:rPr>
          <w:rFonts w:ascii="Book Antiqua" w:hAnsi="Book Antiqua"/>
          <w:b/>
        </w:rPr>
        <w:t xml:space="preserve">. </w:t>
      </w:r>
      <w:r w:rsidR="006A29DA">
        <w:rPr>
          <w:rFonts w:ascii="Book Antiqua" w:hAnsi="Book Antiqua"/>
          <w:b/>
        </w:rPr>
        <w:t>___</w:t>
      </w:r>
      <w:r w:rsidR="00362415">
        <w:rPr>
          <w:rFonts w:ascii="Book Antiqua" w:hAnsi="Book Antiqua"/>
          <w:b/>
        </w:rPr>
        <w:t xml:space="preserve"> </w:t>
      </w:r>
      <w:r w:rsidR="00780E6C" w:rsidRPr="00EF5837">
        <w:rPr>
          <w:rFonts w:ascii="Book Antiqua" w:hAnsi="Book Antiqua"/>
          <w:b/>
        </w:rPr>
        <w:t>of 202</w:t>
      </w:r>
      <w:r w:rsidR="00723061">
        <w:rPr>
          <w:rFonts w:ascii="Book Antiqua" w:hAnsi="Book Antiqua"/>
          <w:b/>
        </w:rPr>
        <w:t>5</w:t>
      </w:r>
    </w:p>
    <w:p w14:paraId="1C2865BA" w14:textId="77777777" w:rsidR="00E56BA1" w:rsidRPr="00EF5837" w:rsidRDefault="00E56BA1" w:rsidP="00BB08ED">
      <w:pPr>
        <w:spacing w:after="0" w:line="240" w:lineRule="auto"/>
        <w:ind w:left="709" w:right="414"/>
        <w:jc w:val="right"/>
        <w:rPr>
          <w:rFonts w:ascii="Book Antiqua" w:hAnsi="Book Antiqua"/>
          <w:b/>
        </w:rPr>
      </w:pPr>
    </w:p>
    <w:p w14:paraId="6224564C" w14:textId="6FB0C454" w:rsidR="00B47480" w:rsidRDefault="00F55E56" w:rsidP="00415A27">
      <w:pPr>
        <w:spacing w:after="0"/>
        <w:ind w:left="2694" w:right="414" w:hanging="1985"/>
        <w:jc w:val="both"/>
        <w:rPr>
          <w:rFonts w:ascii="Book Antiqua" w:hAnsi="Book Antiqua"/>
          <w:b/>
          <w:bCs/>
        </w:rPr>
      </w:pPr>
      <w:r w:rsidRPr="00EF5837">
        <w:rPr>
          <w:rFonts w:ascii="Book Antiqua" w:hAnsi="Book Antiqua"/>
          <w:b/>
        </w:rPr>
        <w:t>In the matter of:</w:t>
      </w:r>
      <w:r w:rsidRPr="00EF5837">
        <w:rPr>
          <w:rFonts w:ascii="Book Antiqua" w:hAnsi="Book Antiqua"/>
          <w:b/>
        </w:rPr>
        <w:tab/>
      </w:r>
      <w:r w:rsidR="004F766E" w:rsidRPr="004F766E">
        <w:rPr>
          <w:rFonts w:ascii="Book Antiqua" w:hAnsi="Book Antiqua"/>
          <w:b/>
        </w:rPr>
        <w:t xml:space="preserve">Determination of Wheeling </w:t>
      </w:r>
      <w:r w:rsidR="00E479E5" w:rsidRPr="004F766E">
        <w:rPr>
          <w:rFonts w:ascii="Book Antiqua" w:hAnsi="Book Antiqua"/>
          <w:b/>
        </w:rPr>
        <w:t>Charges,</w:t>
      </w:r>
      <w:r w:rsidR="004F766E" w:rsidRPr="004F766E">
        <w:rPr>
          <w:rFonts w:ascii="Book Antiqua" w:hAnsi="Book Antiqua"/>
          <w:b/>
        </w:rPr>
        <w:t xml:space="preserve"> Wheeling Losse</w:t>
      </w:r>
      <w:r w:rsidR="00E479E5">
        <w:rPr>
          <w:rFonts w:ascii="Book Antiqua" w:hAnsi="Book Antiqua"/>
          <w:b/>
        </w:rPr>
        <w:t>s</w:t>
      </w:r>
      <w:r w:rsidR="004F766E" w:rsidRPr="004F766E">
        <w:rPr>
          <w:rFonts w:ascii="Book Antiqua" w:hAnsi="Book Antiqua"/>
          <w:b/>
        </w:rPr>
        <w:t xml:space="preserve">, Cross Subsidy Surcharge for LT Consumers taking power on Open Access permitted under OERC (Promotion of Renewable Energy through Green Energy Open Access) Regulations </w:t>
      </w:r>
      <w:r w:rsidR="00E479E5" w:rsidRPr="004F766E">
        <w:rPr>
          <w:rFonts w:ascii="Book Antiqua" w:hAnsi="Book Antiqua"/>
          <w:b/>
        </w:rPr>
        <w:t>2023 and</w:t>
      </w:r>
      <w:r w:rsidR="004F766E" w:rsidRPr="004F766E">
        <w:rPr>
          <w:rFonts w:ascii="Book Antiqua" w:hAnsi="Book Antiqua"/>
          <w:b/>
        </w:rPr>
        <w:t xml:space="preserve"> other related matters</w:t>
      </w:r>
      <w:r w:rsidR="004F766E">
        <w:rPr>
          <w:rFonts w:ascii="Book Antiqua" w:hAnsi="Book Antiqua"/>
          <w:b/>
        </w:rPr>
        <w:t>.</w:t>
      </w:r>
    </w:p>
    <w:p w14:paraId="618A8C9C" w14:textId="77777777" w:rsidR="00EE782B" w:rsidRPr="00EF5837" w:rsidRDefault="00EE782B" w:rsidP="00F6301F">
      <w:pPr>
        <w:spacing w:after="0"/>
        <w:ind w:left="2694" w:right="414" w:hanging="1985"/>
        <w:jc w:val="center"/>
        <w:rPr>
          <w:rFonts w:ascii="Book Antiqua" w:hAnsi="Book Antiqua"/>
          <w:b/>
        </w:rPr>
      </w:pPr>
    </w:p>
    <w:p w14:paraId="2327C981" w14:textId="77777777" w:rsidR="00024AAA" w:rsidRPr="00EF5837" w:rsidRDefault="00024AAA" w:rsidP="00EE782B">
      <w:pPr>
        <w:spacing w:after="0"/>
        <w:ind w:left="2694" w:right="414" w:hanging="1985"/>
        <w:jc w:val="center"/>
        <w:rPr>
          <w:rFonts w:ascii="Book Antiqua" w:hAnsi="Book Antiqua"/>
          <w:b/>
        </w:rPr>
      </w:pPr>
      <w:r w:rsidRPr="00EF5837">
        <w:rPr>
          <w:rFonts w:ascii="Book Antiqua" w:hAnsi="Book Antiqua"/>
          <w:b/>
        </w:rPr>
        <w:t>AND</w:t>
      </w:r>
    </w:p>
    <w:p w14:paraId="78DB3881" w14:textId="5E81BAE6" w:rsidR="00F55E56" w:rsidRPr="00EF5837" w:rsidRDefault="00EE782B" w:rsidP="00281526">
      <w:pPr>
        <w:spacing w:after="0"/>
        <w:ind w:left="2552" w:right="414" w:hanging="1843"/>
        <w:jc w:val="both"/>
        <w:rPr>
          <w:rFonts w:ascii="Book Antiqua" w:hAnsi="Book Antiqua"/>
          <w:b/>
        </w:rPr>
      </w:pPr>
      <w:r w:rsidRPr="00EF5837">
        <w:rPr>
          <w:rFonts w:ascii="Book Antiqua" w:hAnsi="Book Antiqua"/>
          <w:b/>
        </w:rPr>
        <w:t>In the matter of:</w:t>
      </w:r>
      <w:r w:rsidR="003173AF">
        <w:rPr>
          <w:rFonts w:ascii="Book Antiqua" w:hAnsi="Book Antiqua"/>
          <w:b/>
        </w:rPr>
        <w:t xml:space="preserve"> </w:t>
      </w:r>
      <w:r w:rsidR="004C7803">
        <w:rPr>
          <w:rFonts w:ascii="Book Antiqua" w:hAnsi="Book Antiqua"/>
          <w:b/>
        </w:rPr>
        <w:tab/>
      </w:r>
      <w:r w:rsidR="003173AF" w:rsidRPr="00EF5837">
        <w:rPr>
          <w:rFonts w:ascii="Book Antiqua" w:hAnsi="Book Antiqua"/>
          <w:b/>
        </w:rPr>
        <w:t>TP Western Odisha Distribution Limited, Corporate Office, Burla, Sambalpur – 768017</w:t>
      </w:r>
      <w:r w:rsidR="00FE34EE" w:rsidRPr="00B42F2E">
        <w:rPr>
          <w:rFonts w:ascii="Book Antiqua" w:eastAsia="Calibri" w:hAnsi="Book Antiqua" w:cs="Arial"/>
        </w:rPr>
        <w:t>.</w:t>
      </w:r>
    </w:p>
    <w:p w14:paraId="4E4350CE" w14:textId="1BE5EB54" w:rsidR="00722FBF" w:rsidRPr="00EF5837" w:rsidRDefault="00722FBF" w:rsidP="00F55E56">
      <w:pPr>
        <w:spacing w:after="0"/>
        <w:ind w:left="2694" w:right="414" w:hanging="1985"/>
        <w:jc w:val="both"/>
        <w:rPr>
          <w:rFonts w:ascii="Book Antiqua" w:hAnsi="Book Antiqua"/>
          <w:b/>
        </w:rPr>
      </w:pPr>
      <w:r w:rsidRPr="00EF5837">
        <w:rPr>
          <w:rFonts w:ascii="Book Antiqua" w:hAnsi="Book Antiqua"/>
        </w:rPr>
        <w:t xml:space="preserve">                                                                                          </w:t>
      </w:r>
      <w:r w:rsidR="002E01E0">
        <w:rPr>
          <w:rFonts w:ascii="Book Antiqua" w:hAnsi="Book Antiqua"/>
        </w:rPr>
        <w:t xml:space="preserve">    </w:t>
      </w:r>
      <w:r w:rsidR="004C7803">
        <w:rPr>
          <w:rFonts w:ascii="Book Antiqua" w:hAnsi="Book Antiqua"/>
        </w:rPr>
        <w:t xml:space="preserve">                                </w:t>
      </w:r>
      <w:r w:rsidR="00644CD2">
        <w:rPr>
          <w:rFonts w:ascii="Book Antiqua" w:hAnsi="Book Antiqua"/>
        </w:rPr>
        <w:t xml:space="preserve"> …………</w:t>
      </w:r>
      <w:r w:rsidR="004C7803">
        <w:rPr>
          <w:rFonts w:ascii="Book Antiqua" w:hAnsi="Book Antiqua"/>
          <w:b/>
        </w:rPr>
        <w:t xml:space="preserve"> </w:t>
      </w:r>
      <w:r w:rsidR="002E01E0">
        <w:rPr>
          <w:rFonts w:ascii="Book Antiqua" w:hAnsi="Book Antiqua"/>
          <w:b/>
        </w:rPr>
        <w:t>Applicant</w:t>
      </w:r>
    </w:p>
    <w:p w14:paraId="44457521" w14:textId="16FE1ED1" w:rsidR="00F55E56" w:rsidRPr="00EF5837" w:rsidRDefault="00F55E56" w:rsidP="00A366F0">
      <w:pPr>
        <w:spacing w:after="0" w:line="240" w:lineRule="auto"/>
        <w:ind w:left="709" w:right="414"/>
        <w:jc w:val="center"/>
        <w:rPr>
          <w:rFonts w:ascii="Book Antiqua" w:hAnsi="Book Antiqua"/>
          <w:b/>
        </w:rPr>
      </w:pPr>
      <w:r w:rsidRPr="00EF5837">
        <w:rPr>
          <w:rFonts w:ascii="Book Antiqua" w:hAnsi="Book Antiqua"/>
          <w:b/>
        </w:rPr>
        <w:t>AND</w:t>
      </w:r>
    </w:p>
    <w:p w14:paraId="6BCDA17B" w14:textId="0F0A4D13" w:rsidR="004C7803" w:rsidRDefault="00F55E56" w:rsidP="00582E08">
      <w:pPr>
        <w:spacing w:after="0" w:line="240" w:lineRule="auto"/>
        <w:ind w:left="2410" w:right="414" w:hanging="1701"/>
        <w:jc w:val="both"/>
        <w:rPr>
          <w:rFonts w:ascii="Book Antiqua" w:hAnsi="Book Antiqua"/>
          <w:b/>
        </w:rPr>
      </w:pPr>
      <w:r w:rsidRPr="00EF5837">
        <w:rPr>
          <w:rFonts w:ascii="Book Antiqua" w:hAnsi="Book Antiqua"/>
          <w:b/>
        </w:rPr>
        <w:t>In the matter of:</w:t>
      </w:r>
      <w:r w:rsidR="009B24C8" w:rsidRPr="00EF5837">
        <w:rPr>
          <w:rFonts w:ascii="Book Antiqua" w:hAnsi="Book Antiqua"/>
          <w:b/>
        </w:rPr>
        <w:t xml:space="preserve"> </w:t>
      </w:r>
      <w:r w:rsidR="00AA0B38" w:rsidRPr="00AA0B38">
        <w:rPr>
          <w:rFonts w:ascii="Book Antiqua" w:hAnsi="Book Antiqua"/>
          <w:b/>
        </w:rPr>
        <w:t xml:space="preserve">M/s GRIDCO, OPTCL, SLDC, Department of Energy, Govt. of Odisha and </w:t>
      </w:r>
      <w:r w:rsidR="00AA0B38">
        <w:rPr>
          <w:rFonts w:ascii="Book Antiqua" w:hAnsi="Book Antiqua"/>
          <w:b/>
        </w:rPr>
        <w:t>Others</w:t>
      </w:r>
      <w:r w:rsidR="00AA0B38" w:rsidRPr="00AA0B38">
        <w:rPr>
          <w:rFonts w:ascii="Book Antiqua" w:hAnsi="Book Antiqua"/>
          <w:b/>
        </w:rPr>
        <w:t>.</w:t>
      </w:r>
    </w:p>
    <w:p w14:paraId="1D1BD94E" w14:textId="4AB8EF7B" w:rsidR="00F5487A" w:rsidRPr="00EF5837" w:rsidRDefault="004C7803" w:rsidP="00837F43">
      <w:pPr>
        <w:spacing w:after="0" w:line="240" w:lineRule="auto"/>
        <w:ind w:left="2694" w:right="414" w:hanging="1985"/>
        <w:jc w:val="both"/>
        <w:rPr>
          <w:rFonts w:ascii="Book Antiqua" w:hAnsi="Book Antiqua"/>
          <w:b/>
        </w:rPr>
      </w:pPr>
      <w:r>
        <w:rPr>
          <w:rFonts w:ascii="Book Antiqua" w:hAnsi="Book Antiqua"/>
          <w:b/>
        </w:rPr>
        <w:tab/>
      </w:r>
      <w:r w:rsidR="00D37F2A" w:rsidRPr="00EF5837">
        <w:rPr>
          <w:rFonts w:ascii="Book Antiqua" w:hAnsi="Book Antiqua"/>
          <w:b/>
        </w:rPr>
        <w:t xml:space="preserve">                                                            </w:t>
      </w:r>
    </w:p>
    <w:p w14:paraId="655D9BE5" w14:textId="2CDAA3AB" w:rsidR="00F55E56" w:rsidRPr="00EF5837" w:rsidRDefault="00F5487A" w:rsidP="00D37F2A">
      <w:pPr>
        <w:spacing w:after="0" w:line="240" w:lineRule="auto"/>
        <w:ind w:left="2835" w:right="414" w:hanging="1974"/>
        <w:jc w:val="both"/>
        <w:rPr>
          <w:rFonts w:ascii="Book Antiqua" w:hAnsi="Book Antiqua"/>
          <w:b/>
        </w:rPr>
      </w:pPr>
      <w:r w:rsidRPr="00EF5837">
        <w:rPr>
          <w:rFonts w:ascii="Book Antiqua" w:hAnsi="Book Antiqua"/>
          <w:b/>
        </w:rPr>
        <w:t xml:space="preserve">                                                                                                                        </w:t>
      </w:r>
      <w:r w:rsidR="008F14CB">
        <w:rPr>
          <w:rFonts w:ascii="Book Antiqua" w:hAnsi="Book Antiqua"/>
          <w:b/>
        </w:rPr>
        <w:t xml:space="preserve"> </w:t>
      </w:r>
      <w:r w:rsidR="00796747">
        <w:rPr>
          <w:rFonts w:ascii="Book Antiqua" w:hAnsi="Book Antiqua"/>
          <w:b/>
          <w:bCs/>
        </w:rPr>
        <w:t>…………</w:t>
      </w:r>
      <w:r w:rsidR="00D37F2A" w:rsidRPr="00EF5837">
        <w:rPr>
          <w:rFonts w:ascii="Book Antiqua" w:hAnsi="Book Antiqua"/>
          <w:b/>
        </w:rPr>
        <w:t xml:space="preserve">Respondent  </w:t>
      </w:r>
    </w:p>
    <w:p w14:paraId="5052CC5F" w14:textId="6DD7E9B8" w:rsidR="00970CA9" w:rsidRPr="00861934" w:rsidRDefault="00970CA9" w:rsidP="00074FB1">
      <w:pPr>
        <w:tabs>
          <w:tab w:val="left" w:pos="0"/>
        </w:tabs>
        <w:spacing w:after="0" w:line="360" w:lineRule="auto"/>
        <w:jc w:val="center"/>
        <w:rPr>
          <w:rFonts w:ascii="Cambria" w:hAnsi="Cambria"/>
          <w:b/>
          <w:sz w:val="24"/>
          <w:szCs w:val="24"/>
        </w:rPr>
      </w:pPr>
      <w:r w:rsidRPr="00861934">
        <w:rPr>
          <w:rFonts w:ascii="Cambria" w:hAnsi="Cambria"/>
          <w:b/>
          <w:sz w:val="24"/>
          <w:szCs w:val="24"/>
          <w:u w:val="single"/>
        </w:rPr>
        <w:t>AFFIDAVIT</w:t>
      </w:r>
    </w:p>
    <w:p w14:paraId="13773E31" w14:textId="730ED02E" w:rsidR="00970CA9" w:rsidRPr="00861934" w:rsidRDefault="00970CA9" w:rsidP="00074FB1">
      <w:pPr>
        <w:spacing w:line="360" w:lineRule="auto"/>
        <w:ind w:left="426"/>
        <w:jc w:val="both"/>
        <w:rPr>
          <w:rFonts w:ascii="Cambria" w:hAnsi="Cambria"/>
          <w:sz w:val="24"/>
          <w:szCs w:val="24"/>
        </w:rPr>
      </w:pPr>
      <w:r w:rsidRPr="00861934">
        <w:rPr>
          <w:rFonts w:ascii="Cambria" w:hAnsi="Cambria"/>
          <w:sz w:val="24"/>
          <w:szCs w:val="24"/>
        </w:rPr>
        <w:t xml:space="preserve">I </w:t>
      </w:r>
      <w:r w:rsidR="00004591">
        <w:rPr>
          <w:rFonts w:ascii="Cambria" w:hAnsi="Cambria"/>
          <w:sz w:val="24"/>
          <w:szCs w:val="24"/>
        </w:rPr>
        <w:t>Manoj Kumar Panda</w:t>
      </w:r>
      <w:r w:rsidRPr="00861934">
        <w:rPr>
          <w:rFonts w:ascii="Cambria" w:hAnsi="Cambria"/>
          <w:sz w:val="24"/>
          <w:szCs w:val="24"/>
        </w:rPr>
        <w:t xml:space="preserve">, aged about </w:t>
      </w:r>
      <w:r w:rsidR="00004591">
        <w:rPr>
          <w:rFonts w:ascii="Cambria" w:hAnsi="Cambria"/>
          <w:sz w:val="24"/>
          <w:szCs w:val="24"/>
        </w:rPr>
        <w:t>5</w:t>
      </w:r>
      <w:r w:rsidR="004A51FE">
        <w:rPr>
          <w:rFonts w:ascii="Cambria" w:hAnsi="Cambria"/>
          <w:sz w:val="24"/>
          <w:szCs w:val="24"/>
        </w:rPr>
        <w:t>4</w:t>
      </w:r>
      <w:r w:rsidRPr="00861934">
        <w:rPr>
          <w:rFonts w:ascii="Cambria" w:hAnsi="Cambria"/>
          <w:sz w:val="24"/>
          <w:szCs w:val="24"/>
        </w:rPr>
        <w:t xml:space="preserve"> years, S/o. </w:t>
      </w:r>
      <w:r w:rsidR="00FE7612">
        <w:rPr>
          <w:rFonts w:ascii="Cambria" w:hAnsi="Cambria"/>
          <w:sz w:val="24"/>
          <w:szCs w:val="24"/>
        </w:rPr>
        <w:t>Sri Ramesh Chandra Panda</w:t>
      </w:r>
      <w:r w:rsidRPr="00861934">
        <w:rPr>
          <w:rFonts w:ascii="Cambria" w:hAnsi="Cambria"/>
          <w:sz w:val="24"/>
          <w:szCs w:val="24"/>
        </w:rPr>
        <w:t xml:space="preserve"> working as the </w:t>
      </w:r>
      <w:r w:rsidR="00FE7612">
        <w:rPr>
          <w:rFonts w:ascii="Cambria" w:hAnsi="Cambria"/>
          <w:sz w:val="24"/>
          <w:szCs w:val="24"/>
        </w:rPr>
        <w:t xml:space="preserve">Head </w:t>
      </w:r>
      <w:r w:rsidR="00AB57ED">
        <w:rPr>
          <w:rFonts w:ascii="Cambria" w:hAnsi="Cambria"/>
          <w:sz w:val="24"/>
          <w:szCs w:val="24"/>
        </w:rPr>
        <w:t>(</w:t>
      </w:r>
      <w:r w:rsidR="00FE7612">
        <w:rPr>
          <w:rFonts w:ascii="Cambria" w:hAnsi="Cambria"/>
          <w:sz w:val="24"/>
          <w:szCs w:val="24"/>
        </w:rPr>
        <w:t>Re</w:t>
      </w:r>
      <w:r w:rsidR="00AB57ED">
        <w:rPr>
          <w:rFonts w:ascii="Cambria" w:hAnsi="Cambria"/>
          <w:sz w:val="24"/>
          <w:szCs w:val="24"/>
        </w:rPr>
        <w:t>gulatory Affairs &amp; PMAG)</w:t>
      </w:r>
      <w:r w:rsidRPr="00861934">
        <w:rPr>
          <w:rFonts w:ascii="Cambria" w:hAnsi="Cambria"/>
          <w:sz w:val="24"/>
          <w:szCs w:val="24"/>
        </w:rPr>
        <w:t xml:space="preserve">, do hereby solemnly affirm and state as follows: </w:t>
      </w:r>
    </w:p>
    <w:p w14:paraId="6099A3EF" w14:textId="77077F4E" w:rsidR="00970CA9" w:rsidRPr="00861934" w:rsidRDefault="00970CA9" w:rsidP="00CC7D8A">
      <w:pPr>
        <w:numPr>
          <w:ilvl w:val="0"/>
          <w:numId w:val="2"/>
        </w:numPr>
        <w:spacing w:after="0" w:line="360" w:lineRule="auto"/>
        <w:ind w:left="1843"/>
        <w:jc w:val="both"/>
        <w:rPr>
          <w:rFonts w:ascii="Cambria" w:hAnsi="Cambria"/>
          <w:sz w:val="24"/>
          <w:szCs w:val="24"/>
        </w:rPr>
      </w:pPr>
      <w:r w:rsidRPr="00861934">
        <w:rPr>
          <w:rFonts w:ascii="Cambria" w:hAnsi="Cambria"/>
          <w:sz w:val="24"/>
          <w:szCs w:val="24"/>
        </w:rPr>
        <w:t xml:space="preserve">That, I am </w:t>
      </w:r>
      <w:r w:rsidR="001159FE">
        <w:rPr>
          <w:rFonts w:ascii="Cambria" w:hAnsi="Cambria"/>
          <w:sz w:val="24"/>
          <w:szCs w:val="24"/>
        </w:rPr>
        <w:t xml:space="preserve">the </w:t>
      </w:r>
      <w:r w:rsidRPr="00861934">
        <w:rPr>
          <w:rFonts w:ascii="Cambria" w:hAnsi="Cambria"/>
          <w:sz w:val="24"/>
          <w:szCs w:val="24"/>
        </w:rPr>
        <w:t xml:space="preserve">authorized representative of the TPWODL, the </w:t>
      </w:r>
      <w:r w:rsidR="00A475AF">
        <w:rPr>
          <w:rFonts w:ascii="Cambria" w:hAnsi="Cambria"/>
          <w:sz w:val="24"/>
          <w:szCs w:val="24"/>
        </w:rPr>
        <w:t>Applicant</w:t>
      </w:r>
      <w:r w:rsidRPr="00861934">
        <w:rPr>
          <w:rFonts w:ascii="Cambria" w:hAnsi="Cambria"/>
          <w:sz w:val="24"/>
          <w:szCs w:val="24"/>
        </w:rPr>
        <w:t xml:space="preserve"> in the instant case and competent to swear this affidavit for and on behalf of the licensee.</w:t>
      </w:r>
    </w:p>
    <w:p w14:paraId="0132E244" w14:textId="77777777" w:rsidR="00970CA9" w:rsidRPr="00861934" w:rsidRDefault="00970CA9" w:rsidP="00CC7D8A">
      <w:pPr>
        <w:numPr>
          <w:ilvl w:val="0"/>
          <w:numId w:val="2"/>
        </w:numPr>
        <w:spacing w:after="0" w:line="360" w:lineRule="auto"/>
        <w:ind w:left="1843"/>
        <w:jc w:val="both"/>
        <w:rPr>
          <w:rFonts w:ascii="Cambria" w:hAnsi="Cambria"/>
          <w:sz w:val="24"/>
          <w:szCs w:val="24"/>
        </w:rPr>
      </w:pPr>
      <w:r w:rsidRPr="00861934">
        <w:rPr>
          <w:rFonts w:ascii="Cambria" w:hAnsi="Cambria"/>
          <w:sz w:val="24"/>
          <w:szCs w:val="24"/>
        </w:rPr>
        <w:t xml:space="preserve">That, I have gone through the contentions in this application and understood the contents thereof. </w:t>
      </w:r>
    </w:p>
    <w:p w14:paraId="181F0766" w14:textId="18328342" w:rsidR="00970CA9" w:rsidRDefault="00970CA9" w:rsidP="00CC7D8A">
      <w:pPr>
        <w:numPr>
          <w:ilvl w:val="0"/>
          <w:numId w:val="2"/>
        </w:numPr>
        <w:spacing w:after="0" w:line="360" w:lineRule="auto"/>
        <w:ind w:left="1843"/>
        <w:jc w:val="both"/>
        <w:rPr>
          <w:rFonts w:ascii="Cambria" w:hAnsi="Cambria"/>
          <w:sz w:val="24"/>
          <w:szCs w:val="24"/>
        </w:rPr>
      </w:pPr>
      <w:r w:rsidRPr="00861934">
        <w:rPr>
          <w:rFonts w:ascii="Cambria" w:hAnsi="Cambria"/>
          <w:sz w:val="24"/>
          <w:szCs w:val="24"/>
        </w:rPr>
        <w:t xml:space="preserve">That, the facts stated in the </w:t>
      </w:r>
      <w:r w:rsidR="00C132E3">
        <w:rPr>
          <w:rFonts w:ascii="Cambria" w:hAnsi="Cambria"/>
          <w:sz w:val="24"/>
          <w:szCs w:val="24"/>
        </w:rPr>
        <w:t>application</w:t>
      </w:r>
      <w:r w:rsidRPr="00861934">
        <w:rPr>
          <w:rFonts w:ascii="Cambria" w:hAnsi="Cambria"/>
          <w:sz w:val="24"/>
          <w:szCs w:val="24"/>
        </w:rPr>
        <w:t xml:space="preserve"> are true to the best of my knowledge &amp; belief and are as per available records.</w:t>
      </w:r>
    </w:p>
    <w:p w14:paraId="796B8C79" w14:textId="77777777" w:rsidR="00970CA9" w:rsidRPr="00861934" w:rsidRDefault="00970CA9" w:rsidP="00970CA9">
      <w:pPr>
        <w:spacing w:after="0" w:line="360" w:lineRule="auto"/>
        <w:ind w:left="720"/>
        <w:jc w:val="both"/>
        <w:rPr>
          <w:rFonts w:ascii="Cambria" w:hAnsi="Cambria"/>
          <w:sz w:val="24"/>
          <w:szCs w:val="24"/>
        </w:rPr>
      </w:pPr>
    </w:p>
    <w:p w14:paraId="2DF9010C" w14:textId="6CD0FCEC" w:rsidR="00970CA9" w:rsidRDefault="00970CA9" w:rsidP="00970CA9">
      <w:pPr>
        <w:spacing w:after="0" w:line="240" w:lineRule="auto"/>
        <w:ind w:left="2160"/>
        <w:jc w:val="both"/>
        <w:rPr>
          <w:rFonts w:ascii="Cambria" w:eastAsia="Times New Roman" w:hAnsi="Cambria"/>
          <w:sz w:val="24"/>
          <w:szCs w:val="24"/>
        </w:rPr>
      </w:pPr>
      <w:r w:rsidRPr="00861934">
        <w:rPr>
          <w:rFonts w:ascii="Cambria" w:hAnsi="Cambria"/>
          <w:sz w:val="24"/>
          <w:szCs w:val="24"/>
        </w:rPr>
        <w:tab/>
      </w:r>
      <w:r w:rsidRPr="00861934">
        <w:rPr>
          <w:rFonts w:ascii="Cambria" w:hAnsi="Cambria"/>
          <w:sz w:val="24"/>
          <w:szCs w:val="24"/>
        </w:rPr>
        <w:tab/>
      </w:r>
      <w:r w:rsidRPr="00861934">
        <w:rPr>
          <w:rFonts w:ascii="Cambria" w:hAnsi="Cambria"/>
          <w:sz w:val="24"/>
          <w:szCs w:val="24"/>
        </w:rPr>
        <w:tab/>
      </w:r>
      <w:r w:rsidRPr="00861934">
        <w:rPr>
          <w:rFonts w:ascii="Cambria" w:hAnsi="Cambria"/>
          <w:sz w:val="24"/>
          <w:szCs w:val="24"/>
        </w:rPr>
        <w:tab/>
      </w:r>
      <w:r w:rsidRPr="00861934">
        <w:rPr>
          <w:rFonts w:ascii="Cambria" w:hAnsi="Cambria"/>
          <w:sz w:val="24"/>
          <w:szCs w:val="24"/>
        </w:rPr>
        <w:tab/>
      </w:r>
      <w:r w:rsidRPr="00861934">
        <w:rPr>
          <w:rFonts w:ascii="Cambria" w:hAnsi="Cambria"/>
          <w:sz w:val="24"/>
          <w:szCs w:val="24"/>
        </w:rPr>
        <w:tab/>
        <w:t xml:space="preserve">               </w:t>
      </w:r>
      <w:r w:rsidR="00460BDC">
        <w:rPr>
          <w:rFonts w:ascii="Cambria" w:eastAsia="Times New Roman" w:hAnsi="Cambria"/>
          <w:sz w:val="24"/>
          <w:szCs w:val="24"/>
        </w:rPr>
        <w:t>Deponent</w:t>
      </w:r>
    </w:p>
    <w:p w14:paraId="5C44403C" w14:textId="6DDBDA64" w:rsidR="00EA1C26" w:rsidRPr="00861934" w:rsidRDefault="00FF7562" w:rsidP="00FF7562">
      <w:pPr>
        <w:spacing w:after="0" w:line="240" w:lineRule="auto"/>
        <w:ind w:left="5760" w:firstLine="720"/>
        <w:jc w:val="both"/>
        <w:rPr>
          <w:rFonts w:ascii="Cambria" w:hAnsi="Cambria"/>
          <w:sz w:val="24"/>
          <w:szCs w:val="24"/>
        </w:rPr>
      </w:pPr>
      <w:r>
        <w:rPr>
          <w:rFonts w:ascii="Cambria" w:eastAsia="Times New Roman" w:hAnsi="Cambria"/>
          <w:sz w:val="24"/>
          <w:szCs w:val="24"/>
        </w:rPr>
        <w:t>Head (RA&amp;PMAG), TPWODL</w:t>
      </w:r>
    </w:p>
    <w:p w14:paraId="541A09F1" w14:textId="77777777" w:rsidR="00C132E3" w:rsidRDefault="00C132E3" w:rsidP="00366AF0">
      <w:pPr>
        <w:pStyle w:val="NoSpacing"/>
        <w:spacing w:line="360" w:lineRule="auto"/>
        <w:ind w:left="357"/>
        <w:jc w:val="both"/>
        <w:rPr>
          <w:rFonts w:ascii="Cambria" w:eastAsia="Times New Roman" w:hAnsi="Cambria"/>
          <w:sz w:val="24"/>
          <w:szCs w:val="24"/>
        </w:rPr>
      </w:pPr>
    </w:p>
    <w:p w14:paraId="20827F28" w14:textId="220CC443" w:rsidR="00970CA9" w:rsidRPr="00861934" w:rsidRDefault="00970CA9" w:rsidP="00366AF0">
      <w:pPr>
        <w:pStyle w:val="NoSpacing"/>
        <w:spacing w:line="360" w:lineRule="auto"/>
        <w:ind w:left="357"/>
        <w:jc w:val="both"/>
        <w:rPr>
          <w:rFonts w:ascii="Cambria" w:eastAsia="Times New Roman" w:hAnsi="Cambria"/>
          <w:sz w:val="24"/>
          <w:szCs w:val="24"/>
        </w:rPr>
      </w:pPr>
      <w:r w:rsidRPr="00861934">
        <w:rPr>
          <w:rFonts w:ascii="Cambria" w:eastAsia="Times New Roman" w:hAnsi="Cambria"/>
          <w:sz w:val="24"/>
          <w:szCs w:val="24"/>
        </w:rPr>
        <w:t xml:space="preserve">Verified that the contents of </w:t>
      </w:r>
      <w:r w:rsidR="00ED24A3" w:rsidRPr="00861934">
        <w:rPr>
          <w:rFonts w:ascii="Cambria" w:eastAsia="Times New Roman" w:hAnsi="Cambria"/>
          <w:sz w:val="24"/>
          <w:szCs w:val="24"/>
        </w:rPr>
        <w:t>the above</w:t>
      </w:r>
      <w:r w:rsidRPr="00861934">
        <w:rPr>
          <w:rFonts w:ascii="Cambria" w:eastAsia="Times New Roman" w:hAnsi="Cambria"/>
          <w:sz w:val="24"/>
          <w:szCs w:val="24"/>
        </w:rPr>
        <w:t xml:space="preserve"> affidavit are true and correct, no part of it is false and nothing material has been concealed there-from. Verified at</w:t>
      </w:r>
      <w:r w:rsidR="00724243">
        <w:rPr>
          <w:rFonts w:ascii="Cambria" w:eastAsia="Times New Roman" w:hAnsi="Cambria"/>
          <w:sz w:val="24"/>
          <w:szCs w:val="24"/>
        </w:rPr>
        <w:t xml:space="preserve"> Sambalpur </w:t>
      </w:r>
      <w:r w:rsidRPr="00861934">
        <w:rPr>
          <w:rFonts w:ascii="Cambria" w:eastAsia="Times New Roman" w:hAnsi="Cambria"/>
          <w:sz w:val="24"/>
          <w:szCs w:val="24"/>
        </w:rPr>
        <w:t>on this</w:t>
      </w:r>
      <w:r w:rsidR="00724243">
        <w:rPr>
          <w:rFonts w:ascii="Cambria" w:eastAsia="Times New Roman" w:hAnsi="Cambria"/>
          <w:sz w:val="24"/>
          <w:szCs w:val="24"/>
        </w:rPr>
        <w:t xml:space="preserve"> </w:t>
      </w:r>
      <w:r w:rsidR="00655AE2">
        <w:rPr>
          <w:rFonts w:ascii="Cambria" w:eastAsia="Times New Roman" w:hAnsi="Cambria"/>
          <w:sz w:val="24"/>
          <w:szCs w:val="24"/>
        </w:rPr>
        <w:t xml:space="preserve">        </w:t>
      </w:r>
      <w:r w:rsidR="00724243" w:rsidRPr="00655AE2">
        <w:rPr>
          <w:rFonts w:ascii="Cambria" w:eastAsia="Times New Roman" w:hAnsi="Cambria"/>
          <w:sz w:val="24"/>
          <w:szCs w:val="24"/>
        </w:rPr>
        <w:t xml:space="preserve"> </w:t>
      </w:r>
      <w:r w:rsidRPr="00655AE2">
        <w:rPr>
          <w:rFonts w:ascii="Cambria" w:eastAsia="Times New Roman" w:hAnsi="Cambria"/>
          <w:sz w:val="24"/>
          <w:szCs w:val="24"/>
        </w:rPr>
        <w:t>day of</w:t>
      </w:r>
      <w:r w:rsidR="00366AF0" w:rsidRPr="00655AE2">
        <w:rPr>
          <w:rFonts w:ascii="Cambria" w:eastAsia="Times New Roman" w:hAnsi="Cambria"/>
          <w:sz w:val="24"/>
          <w:szCs w:val="24"/>
        </w:rPr>
        <w:t xml:space="preserve"> </w:t>
      </w:r>
      <w:r w:rsidR="00655AE2" w:rsidRPr="00655AE2">
        <w:rPr>
          <w:rFonts w:ascii="Cambria" w:eastAsia="Times New Roman" w:hAnsi="Cambria"/>
          <w:sz w:val="24"/>
          <w:szCs w:val="24"/>
        </w:rPr>
        <w:t>November</w:t>
      </w:r>
      <w:r w:rsidR="008F2862" w:rsidRPr="00655AE2">
        <w:rPr>
          <w:rFonts w:ascii="Cambria" w:eastAsia="Times New Roman" w:hAnsi="Cambria"/>
          <w:sz w:val="24"/>
          <w:szCs w:val="24"/>
        </w:rPr>
        <w:t xml:space="preserve">, </w:t>
      </w:r>
      <w:r w:rsidRPr="00655AE2">
        <w:rPr>
          <w:rFonts w:ascii="Cambria" w:eastAsia="Times New Roman" w:hAnsi="Cambria"/>
          <w:sz w:val="24"/>
          <w:szCs w:val="24"/>
        </w:rPr>
        <w:t>202</w:t>
      </w:r>
      <w:r w:rsidR="006F2FA2" w:rsidRPr="00655AE2">
        <w:rPr>
          <w:rFonts w:ascii="Cambria" w:eastAsia="Times New Roman" w:hAnsi="Cambria"/>
          <w:sz w:val="24"/>
          <w:szCs w:val="24"/>
        </w:rPr>
        <w:t>5</w:t>
      </w:r>
      <w:r w:rsidRPr="00655AE2">
        <w:rPr>
          <w:rFonts w:ascii="Cambria" w:eastAsia="Times New Roman" w:hAnsi="Cambria"/>
          <w:sz w:val="24"/>
          <w:szCs w:val="24"/>
        </w:rPr>
        <w:t>.</w:t>
      </w:r>
      <w:r w:rsidRPr="00861934">
        <w:rPr>
          <w:rFonts w:ascii="Cambria" w:eastAsia="Times New Roman" w:hAnsi="Cambria"/>
          <w:sz w:val="24"/>
          <w:szCs w:val="24"/>
        </w:rPr>
        <w:t xml:space="preserve"> </w:t>
      </w:r>
    </w:p>
    <w:p w14:paraId="5714D88B" w14:textId="77777777" w:rsidR="00970CA9" w:rsidRPr="00861934" w:rsidRDefault="00970CA9" w:rsidP="00970CA9">
      <w:pPr>
        <w:pStyle w:val="NoSpacing"/>
        <w:spacing w:line="360" w:lineRule="auto"/>
        <w:ind w:left="357"/>
        <w:jc w:val="both"/>
        <w:rPr>
          <w:rFonts w:ascii="Cambria" w:eastAsia="Times New Roman" w:hAnsi="Cambria"/>
          <w:sz w:val="18"/>
          <w:szCs w:val="24"/>
        </w:rPr>
      </w:pPr>
    </w:p>
    <w:p w14:paraId="0C4CBD31" w14:textId="1DAE523D" w:rsidR="00970CA9" w:rsidRDefault="00970CA9" w:rsidP="00970CA9">
      <w:pPr>
        <w:tabs>
          <w:tab w:val="left" w:pos="0"/>
        </w:tabs>
        <w:spacing w:after="0" w:line="360" w:lineRule="auto"/>
        <w:ind w:left="709" w:right="414"/>
        <w:rPr>
          <w:rFonts w:ascii="Cambria" w:eastAsia="Times New Roman" w:hAnsi="Cambria"/>
          <w:sz w:val="24"/>
          <w:szCs w:val="24"/>
        </w:rPr>
      </w:pPr>
      <w:r w:rsidRPr="00861934">
        <w:rPr>
          <w:rFonts w:ascii="Cambria" w:eastAsia="Times New Roman" w:hAnsi="Cambria"/>
          <w:sz w:val="24"/>
          <w:szCs w:val="24"/>
        </w:rPr>
        <w:t xml:space="preserve">    </w:t>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366AF0">
        <w:rPr>
          <w:rFonts w:ascii="Cambria" w:eastAsia="Times New Roman" w:hAnsi="Cambria"/>
          <w:sz w:val="24"/>
          <w:szCs w:val="24"/>
        </w:rPr>
        <w:tab/>
      </w:r>
      <w:r w:rsidR="00FD66B0">
        <w:rPr>
          <w:rFonts w:ascii="Cambria" w:eastAsia="Times New Roman" w:hAnsi="Cambria"/>
          <w:sz w:val="24"/>
          <w:szCs w:val="24"/>
        </w:rPr>
        <w:t xml:space="preserve">  </w:t>
      </w:r>
      <w:r w:rsidR="00AF0227">
        <w:rPr>
          <w:rFonts w:ascii="Cambria" w:eastAsia="Times New Roman" w:hAnsi="Cambria"/>
          <w:sz w:val="24"/>
          <w:szCs w:val="24"/>
        </w:rPr>
        <w:t>Deponent</w:t>
      </w:r>
    </w:p>
    <w:p w14:paraId="34D04654" w14:textId="65C9E5FB" w:rsidR="00FF7562" w:rsidRDefault="00FF7562" w:rsidP="00970CA9">
      <w:pPr>
        <w:tabs>
          <w:tab w:val="left" w:pos="0"/>
        </w:tabs>
        <w:spacing w:after="0" w:line="360" w:lineRule="auto"/>
        <w:ind w:left="709" w:right="414"/>
        <w:rPr>
          <w:rFonts w:ascii="Cambria" w:eastAsia="Times New Roman" w:hAnsi="Cambria"/>
          <w:sz w:val="24"/>
          <w:szCs w:val="24"/>
        </w:rPr>
      </w:pP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ab/>
      </w:r>
      <w:r>
        <w:rPr>
          <w:rFonts w:ascii="Cambria" w:eastAsia="Times New Roman" w:hAnsi="Cambria"/>
          <w:sz w:val="24"/>
          <w:szCs w:val="24"/>
        </w:rPr>
        <w:t>Head (RA&amp;PMAG), TPWODL</w:t>
      </w:r>
    </w:p>
    <w:p w14:paraId="176ACB2A" w14:textId="34B38F87" w:rsidR="00A33088" w:rsidRPr="00EF5837" w:rsidRDefault="00970CA9" w:rsidP="00AA0215">
      <w:pPr>
        <w:jc w:val="center"/>
        <w:rPr>
          <w:rFonts w:ascii="Book Antiqua" w:hAnsi="Book Antiqua"/>
          <w:b/>
          <w:i/>
        </w:rPr>
      </w:pPr>
      <w:r>
        <w:rPr>
          <w:rFonts w:ascii="Cambria" w:eastAsia="Times New Roman" w:hAnsi="Cambria"/>
          <w:sz w:val="24"/>
          <w:szCs w:val="24"/>
        </w:rPr>
        <w:br w:type="page"/>
      </w:r>
      <w:bookmarkStart w:id="0" w:name="_Hlk139100071"/>
      <w:r w:rsidR="00A33088" w:rsidRPr="00EF5837">
        <w:rPr>
          <w:rFonts w:ascii="Book Antiqua" w:hAnsi="Book Antiqua"/>
          <w:b/>
        </w:rPr>
        <w:lastRenderedPageBreak/>
        <w:t>BEFORE THE HON’BLE</w:t>
      </w:r>
    </w:p>
    <w:p w14:paraId="7700D4E2" w14:textId="77777777" w:rsidR="00A33088" w:rsidRPr="00EF5837" w:rsidRDefault="00A33088" w:rsidP="00A33088">
      <w:pPr>
        <w:pStyle w:val="Subtitle"/>
        <w:spacing w:after="0" w:line="240" w:lineRule="auto"/>
        <w:jc w:val="center"/>
        <w:rPr>
          <w:rFonts w:ascii="Book Antiqua" w:hAnsi="Book Antiqua"/>
          <w:b/>
          <w:i w:val="0"/>
          <w:color w:val="auto"/>
          <w:sz w:val="22"/>
          <w:szCs w:val="22"/>
        </w:rPr>
      </w:pPr>
      <w:r w:rsidRPr="00EF5837">
        <w:rPr>
          <w:rFonts w:ascii="Book Antiqua" w:hAnsi="Book Antiqua"/>
          <w:b/>
          <w:i w:val="0"/>
          <w:color w:val="auto"/>
          <w:sz w:val="22"/>
          <w:szCs w:val="22"/>
        </w:rPr>
        <w:t>ODISHA ELECTRICITY REGULATORY COMMISSION</w:t>
      </w:r>
    </w:p>
    <w:p w14:paraId="75F3DF01" w14:textId="77777777" w:rsidR="00A33088" w:rsidRPr="00EF5837" w:rsidRDefault="00A33088" w:rsidP="00A33088">
      <w:pPr>
        <w:spacing w:after="0" w:line="240" w:lineRule="auto"/>
        <w:jc w:val="center"/>
        <w:rPr>
          <w:rFonts w:ascii="Book Antiqua" w:hAnsi="Book Antiqua"/>
          <w:b/>
        </w:rPr>
      </w:pPr>
      <w:r w:rsidRPr="00EF5837">
        <w:rPr>
          <w:rFonts w:ascii="Book Antiqua" w:hAnsi="Book Antiqua"/>
          <w:b/>
        </w:rPr>
        <w:t>BIDYUT NIYAMAK BHAWAN</w:t>
      </w:r>
    </w:p>
    <w:p w14:paraId="53D8FBEC" w14:textId="77777777" w:rsidR="007F25C2" w:rsidRPr="00EF5837" w:rsidRDefault="00A33088" w:rsidP="00A33088">
      <w:pPr>
        <w:spacing w:after="0" w:line="240" w:lineRule="auto"/>
        <w:jc w:val="center"/>
        <w:rPr>
          <w:rFonts w:ascii="Book Antiqua" w:hAnsi="Book Antiqua"/>
          <w:b/>
        </w:rPr>
      </w:pPr>
      <w:r w:rsidRPr="00EF5837">
        <w:rPr>
          <w:rFonts w:ascii="Book Antiqua" w:hAnsi="Book Antiqua"/>
          <w:b/>
        </w:rPr>
        <w:t xml:space="preserve">PLOT NO.4, CHUNOKOLI, SHAILASHREE VIHAR, CHANDRASEKHARPUR, </w:t>
      </w:r>
    </w:p>
    <w:p w14:paraId="27BF21C6" w14:textId="5101F9CD" w:rsidR="00A33088" w:rsidRPr="00EF5837" w:rsidRDefault="00A33088" w:rsidP="00A33088">
      <w:pPr>
        <w:spacing w:after="0" w:line="240" w:lineRule="auto"/>
        <w:jc w:val="center"/>
        <w:rPr>
          <w:rFonts w:ascii="Book Antiqua" w:hAnsi="Book Antiqua"/>
          <w:b/>
          <w:u w:val="single"/>
        </w:rPr>
      </w:pPr>
      <w:r w:rsidRPr="00EF5837">
        <w:rPr>
          <w:rFonts w:ascii="Book Antiqua" w:hAnsi="Book Antiqua"/>
          <w:b/>
        </w:rPr>
        <w:t>BHUBANESWAR-75102</w:t>
      </w:r>
      <w:r w:rsidR="00AA3AE1" w:rsidRPr="00EF5837">
        <w:rPr>
          <w:rFonts w:ascii="Book Antiqua" w:hAnsi="Book Antiqua"/>
          <w:b/>
        </w:rPr>
        <w:t>1</w:t>
      </w:r>
    </w:p>
    <w:p w14:paraId="6E6A54AC" w14:textId="77777777" w:rsidR="003C7167" w:rsidRPr="00EF5837" w:rsidRDefault="003C7167" w:rsidP="003C7167">
      <w:pPr>
        <w:spacing w:after="0" w:line="240" w:lineRule="auto"/>
        <w:ind w:left="709" w:right="414"/>
        <w:jc w:val="right"/>
        <w:rPr>
          <w:rFonts w:ascii="Book Antiqua" w:hAnsi="Book Antiqua"/>
          <w:b/>
        </w:rPr>
      </w:pPr>
    </w:p>
    <w:bookmarkEnd w:id="0"/>
    <w:p w14:paraId="43A0A79B" w14:textId="306F7799" w:rsidR="00E7191C" w:rsidRPr="00EF5837" w:rsidRDefault="00E7191C" w:rsidP="00E7191C">
      <w:pPr>
        <w:spacing w:after="0" w:line="240" w:lineRule="auto"/>
        <w:ind w:left="709" w:right="414"/>
        <w:jc w:val="right"/>
        <w:rPr>
          <w:rFonts w:ascii="Book Antiqua" w:hAnsi="Book Antiqua"/>
          <w:b/>
        </w:rPr>
      </w:pPr>
      <w:r w:rsidRPr="00EF5837">
        <w:rPr>
          <w:rFonts w:ascii="Book Antiqua" w:hAnsi="Book Antiqua"/>
          <w:b/>
        </w:rPr>
        <w:t>Case No</w:t>
      </w:r>
      <w:r>
        <w:rPr>
          <w:rFonts w:ascii="Book Antiqua" w:hAnsi="Book Antiqua"/>
          <w:b/>
        </w:rPr>
        <w:t xml:space="preserve">. </w:t>
      </w:r>
      <w:r w:rsidR="002C62D6">
        <w:rPr>
          <w:rFonts w:ascii="Book Antiqua" w:hAnsi="Book Antiqua"/>
          <w:b/>
        </w:rPr>
        <w:t>____</w:t>
      </w:r>
      <w:r w:rsidRPr="00EF5837">
        <w:rPr>
          <w:rFonts w:ascii="Book Antiqua" w:hAnsi="Book Antiqua"/>
          <w:b/>
        </w:rPr>
        <w:t>of 202</w:t>
      </w:r>
      <w:r w:rsidR="00B86D4E">
        <w:rPr>
          <w:rFonts w:ascii="Book Antiqua" w:hAnsi="Book Antiqua"/>
          <w:b/>
        </w:rPr>
        <w:t>5</w:t>
      </w:r>
    </w:p>
    <w:p w14:paraId="054ACE96" w14:textId="77777777" w:rsidR="00E7191C" w:rsidRPr="00EF5837" w:rsidRDefault="00E7191C" w:rsidP="00E7191C">
      <w:pPr>
        <w:spacing w:after="0" w:line="240" w:lineRule="auto"/>
        <w:ind w:left="709" w:right="414"/>
        <w:jc w:val="right"/>
        <w:rPr>
          <w:rFonts w:ascii="Book Antiqua" w:hAnsi="Book Antiqua"/>
          <w:b/>
        </w:rPr>
      </w:pPr>
    </w:p>
    <w:p w14:paraId="355CDC02" w14:textId="02FE7535" w:rsidR="002D3719" w:rsidRDefault="002D3719" w:rsidP="002D3719">
      <w:pPr>
        <w:spacing w:after="0"/>
        <w:ind w:left="2552" w:right="414" w:hanging="1985"/>
        <w:jc w:val="both"/>
        <w:rPr>
          <w:rFonts w:ascii="Book Antiqua" w:hAnsi="Book Antiqua"/>
          <w:b/>
          <w:bCs/>
        </w:rPr>
      </w:pPr>
      <w:r w:rsidRPr="00EF5837">
        <w:rPr>
          <w:rFonts w:ascii="Book Antiqua" w:hAnsi="Book Antiqua"/>
          <w:b/>
        </w:rPr>
        <w:t>In the matter of:</w:t>
      </w:r>
      <w:r w:rsidRPr="00EF5837">
        <w:rPr>
          <w:rFonts w:ascii="Book Antiqua" w:hAnsi="Book Antiqua"/>
          <w:b/>
        </w:rPr>
        <w:tab/>
      </w:r>
      <w:r w:rsidR="00E479E5" w:rsidRPr="004F766E">
        <w:rPr>
          <w:rFonts w:ascii="Book Antiqua" w:hAnsi="Book Antiqua"/>
          <w:b/>
        </w:rPr>
        <w:t>Determination of Wheeling Charges, Wheeling Losse</w:t>
      </w:r>
      <w:r w:rsidR="00E479E5">
        <w:rPr>
          <w:rFonts w:ascii="Book Antiqua" w:hAnsi="Book Antiqua"/>
          <w:b/>
        </w:rPr>
        <w:t>s</w:t>
      </w:r>
      <w:r w:rsidR="00E479E5" w:rsidRPr="004F766E">
        <w:rPr>
          <w:rFonts w:ascii="Book Antiqua" w:hAnsi="Book Antiqua"/>
          <w:b/>
        </w:rPr>
        <w:t>, Cross Subsidy Surcharge for LT Consumers taking power on Open Access permitted under OERC (Promotion of Renewable Energy through Green Energy Open Access) Regulations 2023 and other related matters</w:t>
      </w:r>
      <w:r w:rsidR="00E479E5">
        <w:rPr>
          <w:rFonts w:ascii="Book Antiqua" w:hAnsi="Book Antiqua"/>
          <w:b/>
        </w:rPr>
        <w:t>.</w:t>
      </w:r>
      <w:r>
        <w:rPr>
          <w:rFonts w:ascii="Book Antiqua" w:hAnsi="Book Antiqua"/>
          <w:b/>
          <w:bCs/>
        </w:rPr>
        <w:t xml:space="preserve"> </w:t>
      </w:r>
    </w:p>
    <w:p w14:paraId="4670FF9C" w14:textId="77777777" w:rsidR="002D3719" w:rsidRPr="00EF5837" w:rsidRDefault="002D3719" w:rsidP="002D3719">
      <w:pPr>
        <w:spacing w:after="0"/>
        <w:ind w:left="2694" w:right="414" w:hanging="1985"/>
        <w:jc w:val="center"/>
        <w:rPr>
          <w:rFonts w:ascii="Book Antiqua" w:hAnsi="Book Antiqua"/>
          <w:b/>
        </w:rPr>
      </w:pPr>
    </w:p>
    <w:p w14:paraId="780AD710" w14:textId="77777777" w:rsidR="002D3719" w:rsidRPr="00EF5837" w:rsidRDefault="002D3719" w:rsidP="002D3719">
      <w:pPr>
        <w:spacing w:after="0"/>
        <w:ind w:left="2694" w:right="414" w:hanging="1985"/>
        <w:jc w:val="center"/>
        <w:rPr>
          <w:rFonts w:ascii="Book Antiqua" w:hAnsi="Book Antiqua"/>
          <w:b/>
        </w:rPr>
      </w:pPr>
      <w:r w:rsidRPr="00EF5837">
        <w:rPr>
          <w:rFonts w:ascii="Book Antiqua" w:hAnsi="Book Antiqua"/>
          <w:b/>
        </w:rPr>
        <w:t>AND</w:t>
      </w:r>
    </w:p>
    <w:p w14:paraId="52E98762" w14:textId="77777777" w:rsidR="002D3719" w:rsidRPr="00EF5837" w:rsidRDefault="002D3719" w:rsidP="002D3719">
      <w:pPr>
        <w:spacing w:after="0"/>
        <w:ind w:left="2410" w:right="414" w:hanging="1843"/>
        <w:jc w:val="both"/>
        <w:rPr>
          <w:rFonts w:ascii="Book Antiqua" w:hAnsi="Book Antiqua"/>
          <w:b/>
        </w:rPr>
      </w:pPr>
      <w:r w:rsidRPr="00EF5837">
        <w:rPr>
          <w:rFonts w:ascii="Book Antiqua" w:hAnsi="Book Antiqua"/>
          <w:b/>
        </w:rPr>
        <w:t>In the matter of:</w:t>
      </w:r>
      <w:r>
        <w:rPr>
          <w:rFonts w:ascii="Book Antiqua" w:hAnsi="Book Antiqua"/>
          <w:b/>
        </w:rPr>
        <w:t xml:space="preserve"> </w:t>
      </w:r>
      <w:r>
        <w:rPr>
          <w:rFonts w:ascii="Book Antiqua" w:hAnsi="Book Antiqua"/>
          <w:b/>
        </w:rPr>
        <w:tab/>
      </w:r>
      <w:r w:rsidRPr="00EF5837">
        <w:rPr>
          <w:rFonts w:ascii="Book Antiqua" w:hAnsi="Book Antiqua"/>
          <w:b/>
        </w:rPr>
        <w:t>TP Western Odisha Distribution Limited, Corporate Office, Burla, Sambalpur – 768017</w:t>
      </w:r>
      <w:r w:rsidRPr="00B42F2E">
        <w:rPr>
          <w:rFonts w:ascii="Book Antiqua" w:eastAsia="Calibri" w:hAnsi="Book Antiqua" w:cs="Arial"/>
        </w:rPr>
        <w:t>.</w:t>
      </w:r>
    </w:p>
    <w:p w14:paraId="63FB9D21" w14:textId="77777777" w:rsidR="002D3719" w:rsidRPr="00EF5837" w:rsidRDefault="002D3719" w:rsidP="002D3719">
      <w:pPr>
        <w:spacing w:after="0"/>
        <w:ind w:left="2694" w:right="414" w:hanging="1985"/>
        <w:jc w:val="both"/>
        <w:rPr>
          <w:rFonts w:ascii="Book Antiqua" w:hAnsi="Book Antiqua"/>
          <w:b/>
        </w:rPr>
      </w:pPr>
      <w:r w:rsidRPr="00EF5837">
        <w:rPr>
          <w:rFonts w:ascii="Book Antiqua" w:hAnsi="Book Antiqua"/>
        </w:rPr>
        <w:t xml:space="preserve">                                                                                          </w:t>
      </w:r>
      <w:r>
        <w:rPr>
          <w:rFonts w:ascii="Book Antiqua" w:hAnsi="Book Antiqua"/>
        </w:rPr>
        <w:t xml:space="preserve">                                     …………</w:t>
      </w:r>
      <w:r>
        <w:rPr>
          <w:rFonts w:ascii="Book Antiqua" w:hAnsi="Book Antiqua"/>
          <w:b/>
        </w:rPr>
        <w:t xml:space="preserve"> Applicant</w:t>
      </w:r>
    </w:p>
    <w:p w14:paraId="46C7F5B9" w14:textId="77777777" w:rsidR="002D3719" w:rsidRPr="00EF5837" w:rsidRDefault="002D3719" w:rsidP="002D3719">
      <w:pPr>
        <w:spacing w:after="0" w:line="240" w:lineRule="auto"/>
        <w:ind w:left="709" w:right="414"/>
        <w:jc w:val="center"/>
        <w:rPr>
          <w:rFonts w:ascii="Book Antiqua" w:hAnsi="Book Antiqua"/>
          <w:b/>
        </w:rPr>
      </w:pPr>
      <w:r w:rsidRPr="00EF5837">
        <w:rPr>
          <w:rFonts w:ascii="Book Antiqua" w:hAnsi="Book Antiqua"/>
          <w:b/>
        </w:rPr>
        <w:t>AND</w:t>
      </w:r>
    </w:p>
    <w:p w14:paraId="72EF2CE9" w14:textId="252194ED" w:rsidR="00B618E7" w:rsidRDefault="002D3719" w:rsidP="00582E08">
      <w:pPr>
        <w:spacing w:after="0" w:line="240" w:lineRule="auto"/>
        <w:ind w:left="2410" w:right="414" w:hanging="1701"/>
        <w:jc w:val="both"/>
        <w:rPr>
          <w:rFonts w:ascii="Book Antiqua" w:hAnsi="Book Antiqua"/>
          <w:b/>
        </w:rPr>
      </w:pPr>
      <w:r w:rsidRPr="00EF5837">
        <w:rPr>
          <w:rFonts w:ascii="Book Antiqua" w:hAnsi="Book Antiqua"/>
          <w:b/>
        </w:rPr>
        <w:t>In the matter of:</w:t>
      </w:r>
      <w:r w:rsidR="00657195">
        <w:rPr>
          <w:rFonts w:ascii="Book Antiqua" w:hAnsi="Book Antiqua"/>
          <w:b/>
        </w:rPr>
        <w:t xml:space="preserve"> </w:t>
      </w:r>
      <w:r w:rsidR="00F85E7D" w:rsidRPr="00AA0B38">
        <w:rPr>
          <w:rFonts w:ascii="Book Antiqua" w:hAnsi="Book Antiqua"/>
          <w:b/>
        </w:rPr>
        <w:t xml:space="preserve">M/s GRIDCO, OPTCL, SLDC, Department of Energy, Govt. of Odisha and </w:t>
      </w:r>
      <w:r w:rsidR="00F85E7D">
        <w:rPr>
          <w:rFonts w:ascii="Book Antiqua" w:hAnsi="Book Antiqua"/>
          <w:b/>
        </w:rPr>
        <w:t>Others</w:t>
      </w:r>
      <w:r w:rsidR="00F85E7D" w:rsidRPr="00AA0B38">
        <w:rPr>
          <w:rFonts w:ascii="Book Antiqua" w:hAnsi="Book Antiqua"/>
          <w:b/>
        </w:rPr>
        <w:t>.</w:t>
      </w:r>
    </w:p>
    <w:p w14:paraId="5C9AD29D" w14:textId="77777777" w:rsidR="00B618E7" w:rsidRPr="00EF5837" w:rsidRDefault="00B618E7" w:rsidP="00B618E7">
      <w:pPr>
        <w:spacing w:after="0" w:line="240" w:lineRule="auto"/>
        <w:ind w:left="2694" w:right="414" w:hanging="1985"/>
        <w:jc w:val="both"/>
        <w:rPr>
          <w:rFonts w:ascii="Book Antiqua" w:hAnsi="Book Antiqua"/>
          <w:b/>
        </w:rPr>
      </w:pPr>
      <w:r>
        <w:rPr>
          <w:rFonts w:ascii="Book Antiqua" w:hAnsi="Book Antiqua"/>
          <w:b/>
        </w:rPr>
        <w:tab/>
      </w:r>
      <w:r w:rsidRPr="00EF5837">
        <w:rPr>
          <w:rFonts w:ascii="Book Antiqua" w:hAnsi="Book Antiqua"/>
          <w:b/>
        </w:rPr>
        <w:t xml:space="preserve">                                                            </w:t>
      </w:r>
    </w:p>
    <w:p w14:paraId="7C4ED58B" w14:textId="11B88B06" w:rsidR="00E7191C" w:rsidRPr="00EF5837" w:rsidRDefault="00B618E7" w:rsidP="00B618E7">
      <w:pPr>
        <w:spacing w:after="0" w:line="240" w:lineRule="auto"/>
        <w:ind w:left="2410" w:right="414" w:hanging="1843"/>
        <w:jc w:val="right"/>
        <w:rPr>
          <w:rFonts w:ascii="Book Antiqua" w:hAnsi="Book Antiqua"/>
          <w:b/>
        </w:rPr>
      </w:pPr>
      <w:r w:rsidRPr="00EF5837">
        <w:rPr>
          <w:rFonts w:ascii="Book Antiqua" w:hAnsi="Book Antiqua"/>
          <w:b/>
        </w:rPr>
        <w:t xml:space="preserve">                                                                                                                        </w:t>
      </w:r>
      <w:r>
        <w:rPr>
          <w:rFonts w:ascii="Book Antiqua" w:hAnsi="Book Antiqua"/>
          <w:b/>
        </w:rPr>
        <w:t xml:space="preserve"> </w:t>
      </w:r>
      <w:r>
        <w:rPr>
          <w:rFonts w:ascii="Book Antiqua" w:hAnsi="Book Antiqua"/>
          <w:b/>
          <w:bCs/>
        </w:rPr>
        <w:t>………</w:t>
      </w:r>
      <w:r w:rsidRPr="00EF5837">
        <w:rPr>
          <w:rFonts w:ascii="Book Antiqua" w:hAnsi="Book Antiqua"/>
          <w:b/>
        </w:rPr>
        <w:t>Respondent</w:t>
      </w:r>
      <w:r w:rsidR="00E7191C" w:rsidRPr="00EF5837">
        <w:rPr>
          <w:rFonts w:ascii="Book Antiqua" w:hAnsi="Book Antiqua"/>
          <w:b/>
        </w:rPr>
        <w:t xml:space="preserve"> </w:t>
      </w:r>
    </w:p>
    <w:p w14:paraId="47BEDD86" w14:textId="3FFD61D2" w:rsidR="00A33088" w:rsidRPr="00EF5837" w:rsidRDefault="001062E4" w:rsidP="001062E4">
      <w:pPr>
        <w:autoSpaceDE w:val="0"/>
        <w:autoSpaceDN w:val="0"/>
        <w:adjustRightInd w:val="0"/>
        <w:spacing w:line="360" w:lineRule="auto"/>
        <w:ind w:left="426"/>
        <w:jc w:val="both"/>
        <w:rPr>
          <w:rFonts w:ascii="Book Antiqua" w:hAnsi="Book Antiqua" w:cs="Arial"/>
          <w:b/>
        </w:rPr>
      </w:pPr>
      <w:r w:rsidRPr="00EF5837">
        <w:rPr>
          <w:rFonts w:ascii="Book Antiqua" w:hAnsi="Book Antiqua"/>
          <w:b/>
        </w:rPr>
        <w:t xml:space="preserve">  </w:t>
      </w:r>
      <w:r w:rsidR="00096D46" w:rsidRPr="00EF5837">
        <w:rPr>
          <w:rFonts w:ascii="Book Antiqua" w:hAnsi="Book Antiqua" w:cs="Arial"/>
          <w:b/>
        </w:rPr>
        <w:t>Most</w:t>
      </w:r>
      <w:r w:rsidR="00A33088" w:rsidRPr="00EF5837">
        <w:rPr>
          <w:rFonts w:ascii="Book Antiqua" w:hAnsi="Book Antiqua" w:cs="Arial"/>
          <w:b/>
        </w:rPr>
        <w:t xml:space="preserve"> </w:t>
      </w:r>
      <w:r w:rsidR="00096D46" w:rsidRPr="00EF5837">
        <w:rPr>
          <w:rFonts w:ascii="Book Antiqua" w:hAnsi="Book Antiqua" w:cs="Arial"/>
          <w:b/>
        </w:rPr>
        <w:t>R</w:t>
      </w:r>
      <w:r w:rsidR="00A33088" w:rsidRPr="00EF5837">
        <w:rPr>
          <w:rFonts w:ascii="Book Antiqua" w:hAnsi="Book Antiqua" w:cs="Arial"/>
          <w:b/>
        </w:rPr>
        <w:t xml:space="preserve">espectfully </w:t>
      </w:r>
      <w:proofErr w:type="spellStart"/>
      <w:r w:rsidR="00096D46" w:rsidRPr="00EF5837">
        <w:rPr>
          <w:rFonts w:ascii="Book Antiqua" w:hAnsi="Book Antiqua" w:cs="Arial"/>
          <w:b/>
        </w:rPr>
        <w:t>S</w:t>
      </w:r>
      <w:r w:rsidR="00A33088" w:rsidRPr="00EF5837">
        <w:rPr>
          <w:rFonts w:ascii="Book Antiqua" w:hAnsi="Book Antiqua" w:cs="Arial"/>
          <w:b/>
        </w:rPr>
        <w:t>heweth</w:t>
      </w:r>
      <w:proofErr w:type="spellEnd"/>
    </w:p>
    <w:p w14:paraId="222A4D2B" w14:textId="605E5407" w:rsidR="0006019E" w:rsidRPr="0006019E" w:rsidRDefault="0006019E" w:rsidP="00A01453">
      <w:pPr>
        <w:pStyle w:val="ListParagraph"/>
        <w:numPr>
          <w:ilvl w:val="0"/>
          <w:numId w:val="1"/>
        </w:numPr>
        <w:autoSpaceDE w:val="0"/>
        <w:autoSpaceDN w:val="0"/>
        <w:adjustRightInd w:val="0"/>
        <w:spacing w:beforeLines="100" w:before="240" w:afterLines="100" w:after="240" w:line="360" w:lineRule="auto"/>
        <w:ind w:left="1560" w:right="414" w:hanging="357"/>
        <w:contextualSpacing w:val="0"/>
        <w:jc w:val="both"/>
        <w:rPr>
          <w:rFonts w:ascii="Book Antiqua" w:eastAsia="Calibri" w:hAnsi="Book Antiqua" w:cs="Arial"/>
        </w:rPr>
      </w:pPr>
      <w:r w:rsidRPr="0006019E">
        <w:rPr>
          <w:rFonts w:ascii="Book Antiqua" w:eastAsia="Calibri" w:hAnsi="Book Antiqua" w:cs="Arial"/>
        </w:rPr>
        <w:t xml:space="preserve">That, the </w:t>
      </w:r>
      <w:r w:rsidR="00ED3B32">
        <w:rPr>
          <w:rFonts w:ascii="Book Antiqua" w:eastAsia="Calibri" w:hAnsi="Book Antiqua" w:cs="Arial"/>
        </w:rPr>
        <w:t>Applicant</w:t>
      </w:r>
      <w:r w:rsidRPr="0006019E">
        <w:rPr>
          <w:rFonts w:ascii="Book Antiqua" w:eastAsia="Calibri" w:hAnsi="Book Antiqua" w:cs="Arial"/>
        </w:rPr>
        <w:t xml:space="preserve"> has taken over the distribution business from erstwhile WESCO utility </w:t>
      </w:r>
      <w:proofErr w:type="spellStart"/>
      <w:r w:rsidRPr="0006019E">
        <w:rPr>
          <w:rFonts w:ascii="Book Antiqua" w:eastAsia="Calibri" w:hAnsi="Book Antiqua" w:cs="Arial"/>
        </w:rPr>
        <w:t>w.e.f</w:t>
      </w:r>
      <w:proofErr w:type="spellEnd"/>
      <w:r w:rsidRPr="0006019E">
        <w:rPr>
          <w:rFonts w:ascii="Book Antiqua" w:eastAsia="Calibri" w:hAnsi="Book Antiqua" w:cs="Arial"/>
        </w:rPr>
        <w:t xml:space="preserve"> 01.01.2021 as per terms of Order dated 28.12.2020 (hereinafter referred to as “Vesting Order”). TP Western Odisha Distribution Limited (TPWODL) is a joint venture between Tata Power and the Government of Odisha with equity participation of 51% by Tata Power Company Ltd.</w:t>
      </w:r>
    </w:p>
    <w:p w14:paraId="4BDF3DCB" w14:textId="77777777" w:rsidR="0006019E" w:rsidRPr="0006019E" w:rsidRDefault="0006019E" w:rsidP="00A01453">
      <w:pPr>
        <w:pStyle w:val="ListParagraph"/>
        <w:numPr>
          <w:ilvl w:val="0"/>
          <w:numId w:val="1"/>
        </w:numPr>
        <w:autoSpaceDE w:val="0"/>
        <w:autoSpaceDN w:val="0"/>
        <w:adjustRightInd w:val="0"/>
        <w:spacing w:beforeLines="100" w:before="240" w:afterLines="100" w:after="240" w:line="360" w:lineRule="auto"/>
        <w:ind w:left="1560" w:right="414" w:hanging="357"/>
        <w:contextualSpacing w:val="0"/>
        <w:jc w:val="both"/>
        <w:rPr>
          <w:rFonts w:ascii="Book Antiqua" w:eastAsia="Calibri" w:hAnsi="Book Antiqua" w:cs="Arial"/>
        </w:rPr>
      </w:pPr>
      <w:r w:rsidRPr="0006019E">
        <w:rPr>
          <w:rFonts w:ascii="Book Antiqua" w:eastAsia="Calibri" w:hAnsi="Book Antiqua" w:cs="Arial"/>
        </w:rPr>
        <w:t>That, the Respondent is the Distribution Licensee as per license condition dated 26.03.2021 of the Hon’ble Commission and distributes electricity in western part of Odisha having 09 revenue districts namely Sambalpur, Jharsuguda, Deogarh, Sundargarh, Bargarh, Bolangir, Sonepur, Kalahandi and Nuapada with 48000 Sq. KM area of operation.</w:t>
      </w:r>
    </w:p>
    <w:p w14:paraId="166B0724" w14:textId="45C39C85" w:rsidR="004E6107" w:rsidRDefault="0006019E" w:rsidP="00A01453">
      <w:pPr>
        <w:pStyle w:val="ListParagraph"/>
        <w:numPr>
          <w:ilvl w:val="0"/>
          <w:numId w:val="1"/>
        </w:numPr>
        <w:autoSpaceDE w:val="0"/>
        <w:autoSpaceDN w:val="0"/>
        <w:adjustRightInd w:val="0"/>
        <w:spacing w:beforeLines="100" w:before="240" w:afterLines="100" w:after="240" w:line="360" w:lineRule="auto"/>
        <w:ind w:left="1560" w:right="414" w:hanging="357"/>
        <w:contextualSpacing w:val="0"/>
        <w:jc w:val="both"/>
        <w:rPr>
          <w:rFonts w:ascii="Book Antiqua" w:eastAsia="Calibri" w:hAnsi="Book Antiqua" w:cs="Arial"/>
        </w:rPr>
      </w:pPr>
      <w:r w:rsidRPr="00043664">
        <w:rPr>
          <w:rFonts w:ascii="Book Antiqua" w:eastAsia="Calibri" w:hAnsi="Book Antiqua" w:cs="Arial"/>
        </w:rPr>
        <w:t xml:space="preserve">That, the Government of Odisha </w:t>
      </w:r>
      <w:r w:rsidR="004F2ECA">
        <w:rPr>
          <w:rFonts w:ascii="Book Antiqua" w:eastAsia="Calibri" w:hAnsi="Book Antiqua" w:cs="Arial"/>
        </w:rPr>
        <w:t xml:space="preserve">vide </w:t>
      </w:r>
      <w:r w:rsidR="004F2ECA" w:rsidRPr="00043664">
        <w:rPr>
          <w:rFonts w:ascii="Book Antiqua" w:eastAsia="Calibri" w:hAnsi="Book Antiqua" w:cs="Arial"/>
        </w:rPr>
        <w:t>Notification No. PPD-II-2/05(pt.)7947 dated 17.08.2006</w:t>
      </w:r>
      <w:r w:rsidR="004F2ECA">
        <w:rPr>
          <w:rFonts w:ascii="Book Antiqua" w:eastAsia="Calibri" w:hAnsi="Book Antiqua" w:cs="Arial"/>
        </w:rPr>
        <w:t xml:space="preserve"> </w:t>
      </w:r>
      <w:r w:rsidRPr="00043664">
        <w:rPr>
          <w:rFonts w:ascii="Book Antiqua" w:eastAsia="Calibri" w:hAnsi="Book Antiqua" w:cs="Arial"/>
        </w:rPr>
        <w:t xml:space="preserve">has notified the </w:t>
      </w:r>
      <w:r w:rsidR="00402FD5" w:rsidRPr="00043664">
        <w:rPr>
          <w:rFonts w:ascii="Book Antiqua" w:eastAsia="Calibri" w:hAnsi="Book Antiqua" w:cs="Arial"/>
        </w:rPr>
        <w:t>GRIDCO</w:t>
      </w:r>
      <w:r w:rsidRPr="00043664">
        <w:rPr>
          <w:rFonts w:ascii="Book Antiqua" w:eastAsia="Calibri" w:hAnsi="Book Antiqua" w:cs="Arial"/>
        </w:rPr>
        <w:t xml:space="preserve"> as the “State Designated Entity” </w:t>
      </w:r>
      <w:r w:rsidR="0008247C" w:rsidRPr="0006019E">
        <w:rPr>
          <w:rFonts w:ascii="Book Antiqua" w:eastAsia="Calibri" w:hAnsi="Book Antiqua" w:cs="Arial"/>
        </w:rPr>
        <w:t xml:space="preserve">to procure power </w:t>
      </w:r>
      <w:r w:rsidRPr="00043664">
        <w:rPr>
          <w:rFonts w:ascii="Book Antiqua" w:eastAsia="Calibri" w:hAnsi="Book Antiqua" w:cs="Arial"/>
        </w:rPr>
        <w:t xml:space="preserve">from various sources including Hydro power, Wind power, power from Agricultural waste etc. along with Thermal power. </w:t>
      </w:r>
      <w:r w:rsidR="004E6107">
        <w:rPr>
          <w:rFonts w:ascii="Book Antiqua" w:eastAsia="Calibri" w:hAnsi="Book Antiqua" w:cs="Arial"/>
        </w:rPr>
        <w:t>A</w:t>
      </w:r>
      <w:r w:rsidR="004E6107" w:rsidRPr="0006019E">
        <w:rPr>
          <w:rFonts w:ascii="Book Antiqua" w:eastAsia="Calibri" w:hAnsi="Book Antiqua" w:cs="Arial"/>
        </w:rPr>
        <w:t xml:space="preserve">s per mandate of Vesting Order, </w:t>
      </w:r>
      <w:r w:rsidR="00455F1A" w:rsidRPr="0006019E">
        <w:rPr>
          <w:rFonts w:ascii="Book Antiqua" w:eastAsia="Calibri" w:hAnsi="Book Antiqua" w:cs="Arial"/>
        </w:rPr>
        <w:t xml:space="preserve">all the 4 DISCOM(s) </w:t>
      </w:r>
      <w:r w:rsidR="00455F1A">
        <w:rPr>
          <w:rFonts w:ascii="Book Antiqua" w:eastAsia="Calibri" w:hAnsi="Book Antiqua" w:cs="Arial"/>
        </w:rPr>
        <w:t xml:space="preserve">including </w:t>
      </w:r>
      <w:r w:rsidR="004E6107" w:rsidRPr="0006019E">
        <w:rPr>
          <w:rFonts w:ascii="Book Antiqua" w:eastAsia="Calibri" w:hAnsi="Book Antiqua" w:cs="Arial"/>
        </w:rPr>
        <w:t xml:space="preserve">TPWODL is procuring power from GRIDCO. The </w:t>
      </w:r>
      <w:r w:rsidR="004E6107">
        <w:rPr>
          <w:rFonts w:ascii="Book Antiqua" w:eastAsia="Calibri" w:hAnsi="Book Antiqua" w:cs="Arial"/>
        </w:rPr>
        <w:t>GRIDCO</w:t>
      </w:r>
      <w:r w:rsidR="004E6107" w:rsidRPr="0006019E">
        <w:rPr>
          <w:rFonts w:ascii="Book Antiqua" w:eastAsia="Calibri" w:hAnsi="Book Antiqua" w:cs="Arial"/>
        </w:rPr>
        <w:t xml:space="preserve"> is also a Deemed Trading Licensee under 5th proviso to Section 14 of the Electricity Act, 2003. </w:t>
      </w:r>
    </w:p>
    <w:p w14:paraId="074F4945" w14:textId="77777777" w:rsidR="00647251" w:rsidRDefault="00647251" w:rsidP="00A01453">
      <w:pPr>
        <w:pStyle w:val="ListParagraph"/>
        <w:numPr>
          <w:ilvl w:val="0"/>
          <w:numId w:val="1"/>
        </w:numPr>
        <w:autoSpaceDE w:val="0"/>
        <w:autoSpaceDN w:val="0"/>
        <w:adjustRightInd w:val="0"/>
        <w:spacing w:beforeLines="100" w:before="240" w:afterLines="100" w:after="240" w:line="360" w:lineRule="auto"/>
        <w:ind w:left="1560" w:right="414" w:hanging="357"/>
        <w:contextualSpacing w:val="0"/>
        <w:jc w:val="both"/>
        <w:rPr>
          <w:rFonts w:ascii="Book Antiqua" w:eastAsia="Calibri" w:hAnsi="Book Antiqua" w:cs="Arial"/>
        </w:rPr>
      </w:pPr>
      <w:r w:rsidRPr="006904C7">
        <w:rPr>
          <w:rFonts w:ascii="Book Antiqua" w:eastAsia="Calibri" w:hAnsi="Book Antiqua" w:cs="Arial"/>
        </w:rPr>
        <w:lastRenderedPageBreak/>
        <w:t>That, Odisha Power Transmission Corporation Limited (OPTCL) is the State designated STU and the Deemed Transmission Licensee authorized for carrying out the activities of Intra-state Transmission of Electricity within the state of Odisha u/s 14 &amp; 39 of Electricity Act, 2003.</w:t>
      </w:r>
      <w:r>
        <w:rPr>
          <w:rFonts w:ascii="Book Antiqua" w:eastAsia="Calibri" w:hAnsi="Book Antiqua" w:cs="Arial"/>
        </w:rPr>
        <w:t xml:space="preserve"> The </w:t>
      </w:r>
      <w:r w:rsidRPr="0010586F">
        <w:rPr>
          <w:rFonts w:ascii="Book Antiqua" w:eastAsia="Calibri" w:hAnsi="Book Antiqua" w:cs="Arial"/>
        </w:rPr>
        <w:t>STU have the key responsibility of network planning and development of the intra-state transmission system (</w:t>
      </w:r>
      <w:proofErr w:type="spellStart"/>
      <w:r w:rsidRPr="0010586F">
        <w:rPr>
          <w:rFonts w:ascii="Book Antiqua" w:eastAsia="Calibri" w:hAnsi="Book Antiqua" w:cs="Arial"/>
        </w:rPr>
        <w:t>InSTS</w:t>
      </w:r>
      <w:proofErr w:type="spellEnd"/>
      <w:r w:rsidRPr="0010586F">
        <w:rPr>
          <w:rFonts w:ascii="Book Antiqua" w:eastAsia="Calibri" w:hAnsi="Book Antiqua" w:cs="Arial"/>
        </w:rPr>
        <w:t>).</w:t>
      </w:r>
    </w:p>
    <w:p w14:paraId="629DF0B9" w14:textId="7B5A7487" w:rsidR="0006204C" w:rsidRPr="0006204C" w:rsidRDefault="0006204C" w:rsidP="00554E8F">
      <w:pPr>
        <w:pStyle w:val="ListParagraph"/>
        <w:numPr>
          <w:ilvl w:val="4"/>
          <w:numId w:val="9"/>
        </w:numPr>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r w:rsidRPr="0006204C">
        <w:rPr>
          <w:rFonts w:ascii="Book Antiqua" w:eastAsia="Calibri" w:hAnsi="Book Antiqua" w:cs="Arial"/>
          <w:b/>
          <w:bCs/>
        </w:rPr>
        <w:t>Background for Submission of the Petition</w:t>
      </w:r>
    </w:p>
    <w:p w14:paraId="37E5CF6A" w14:textId="269EABC4" w:rsidR="00DD2EBF" w:rsidRPr="00A266C3" w:rsidRDefault="00DD2EBF" w:rsidP="00DD2EBF">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A266C3">
        <w:rPr>
          <w:rFonts w:ascii="Book Antiqua" w:eastAsia="Calibri" w:hAnsi="Book Antiqua" w:cs="Arial"/>
        </w:rPr>
        <w:t xml:space="preserve">That, the </w:t>
      </w:r>
      <w:r w:rsidR="00B106DA" w:rsidRPr="00B106DA">
        <w:rPr>
          <w:rFonts w:ascii="Book Antiqua" w:eastAsia="Calibri" w:hAnsi="Book Antiqua" w:cs="Arial"/>
        </w:rPr>
        <w:t xml:space="preserve">Hon’ble Commission vide gazette notification dated 27th December 2023 </w:t>
      </w:r>
      <w:r w:rsidR="008F2862" w:rsidRPr="00B106DA">
        <w:rPr>
          <w:rFonts w:ascii="Book Antiqua" w:eastAsia="Calibri" w:hAnsi="Book Antiqua" w:cs="Arial"/>
        </w:rPr>
        <w:t>has notified</w:t>
      </w:r>
      <w:r w:rsidR="00B106DA" w:rsidRPr="00B106DA">
        <w:rPr>
          <w:rFonts w:ascii="Book Antiqua" w:eastAsia="Calibri" w:hAnsi="Book Antiqua" w:cs="Arial"/>
        </w:rPr>
        <w:t xml:space="preserve"> the OERC (Promotion of Renewable Energy through Green Open Access) Regulations 2023 (“Green Open Access Regulations,</w:t>
      </w:r>
      <w:r w:rsidR="00251955" w:rsidRPr="00B106DA">
        <w:rPr>
          <w:rFonts w:ascii="Book Antiqua" w:eastAsia="Calibri" w:hAnsi="Book Antiqua" w:cs="Arial"/>
        </w:rPr>
        <w:t>2023”</w:t>
      </w:r>
      <w:r w:rsidR="00B106DA" w:rsidRPr="00B106DA">
        <w:rPr>
          <w:rFonts w:ascii="Book Antiqua" w:eastAsia="Calibri" w:hAnsi="Book Antiqua" w:cs="Arial"/>
        </w:rPr>
        <w:t>) for promotion of Green Energy.</w:t>
      </w:r>
    </w:p>
    <w:p w14:paraId="2394D8C0" w14:textId="46F6CEF7" w:rsidR="000321C1" w:rsidRDefault="00BE7568"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That,</w:t>
      </w:r>
      <w:r w:rsidR="0004549F">
        <w:rPr>
          <w:rFonts w:ascii="Book Antiqua" w:eastAsia="Calibri" w:hAnsi="Book Antiqua" w:cs="Arial"/>
        </w:rPr>
        <w:t xml:space="preserve"> </w:t>
      </w:r>
      <w:r w:rsidR="00763324">
        <w:rPr>
          <w:rFonts w:ascii="Book Antiqua" w:eastAsia="Calibri" w:hAnsi="Book Antiqua" w:cs="Arial"/>
        </w:rPr>
        <w:t>t</w:t>
      </w:r>
      <w:r w:rsidR="00763324" w:rsidRPr="00763324">
        <w:rPr>
          <w:rFonts w:ascii="Book Antiqua" w:eastAsia="Calibri" w:hAnsi="Book Antiqua" w:cs="Arial"/>
        </w:rPr>
        <w:t xml:space="preserve">he Green Open Access Regulations, 2023 allows consumers to procure power beyond a threshold of 100 KW capacity. The relevant extract from the regulations </w:t>
      </w:r>
      <w:r w:rsidR="00251955" w:rsidRPr="00763324">
        <w:rPr>
          <w:rFonts w:ascii="Book Antiqua" w:eastAsia="Calibri" w:hAnsi="Book Antiqua" w:cs="Arial"/>
        </w:rPr>
        <w:t>is</w:t>
      </w:r>
      <w:r w:rsidR="00763324" w:rsidRPr="00763324">
        <w:rPr>
          <w:rFonts w:ascii="Book Antiqua" w:eastAsia="Calibri" w:hAnsi="Book Antiqua" w:cs="Arial"/>
        </w:rPr>
        <w:t xml:space="preserve"> provided below.</w:t>
      </w:r>
      <w:r w:rsidRPr="00BE7568">
        <w:rPr>
          <w:rFonts w:ascii="Book Antiqua" w:eastAsia="Calibri" w:hAnsi="Book Antiqua" w:cs="Arial"/>
        </w:rPr>
        <w:t xml:space="preserve"> </w:t>
      </w:r>
    </w:p>
    <w:p w14:paraId="1EF9CFC5" w14:textId="3122577A" w:rsidR="00F33D0B" w:rsidRDefault="00CA2BF9" w:rsidP="00F33D0B">
      <w:pPr>
        <w:pStyle w:val="ListParagraph"/>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83357F">
        <w:rPr>
          <w:noProof/>
          <w:lang w:eastAsia="en-IN"/>
        </w:rPr>
        <w:drawing>
          <wp:inline distT="0" distB="0" distL="0" distR="0" wp14:anchorId="0D82C1A9" wp14:editId="2682D21D">
            <wp:extent cx="5134692" cy="924054"/>
            <wp:effectExtent l="0" t="0" r="8890" b="9525"/>
            <wp:docPr id="58201015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10154" name="Picture 1" descr="A white background with black text&#10;&#10;AI-generated content may be incorrect."/>
                    <pic:cNvPicPr/>
                  </pic:nvPicPr>
                  <pic:blipFill>
                    <a:blip r:embed="rId11"/>
                    <a:stretch>
                      <a:fillRect/>
                    </a:stretch>
                  </pic:blipFill>
                  <pic:spPr>
                    <a:xfrm>
                      <a:off x="0" y="0"/>
                      <a:ext cx="5134692" cy="924054"/>
                    </a:xfrm>
                    <a:prstGeom prst="rect">
                      <a:avLst/>
                    </a:prstGeom>
                  </pic:spPr>
                </pic:pic>
              </a:graphicData>
            </a:graphic>
          </wp:inline>
        </w:drawing>
      </w:r>
    </w:p>
    <w:p w14:paraId="354B01B0" w14:textId="1E7CE4CF" w:rsidR="00E92AA1" w:rsidRDefault="00E92AA1"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That, f</w:t>
      </w:r>
      <w:r w:rsidRPr="00E92AA1">
        <w:rPr>
          <w:rFonts w:ascii="Book Antiqua" w:eastAsia="Calibri" w:hAnsi="Book Antiqua" w:cs="Arial"/>
        </w:rPr>
        <w:t>urther, the Hon’ble Commission in its retail supply tariff order for FY 2025-26 dated 24.03.2025 has stipulated following.</w:t>
      </w:r>
    </w:p>
    <w:p w14:paraId="66AC55E4" w14:textId="77777777" w:rsidR="0015546C" w:rsidRPr="00D26C1B" w:rsidRDefault="0015546C" w:rsidP="0015546C">
      <w:pPr>
        <w:pStyle w:val="ListParagraph"/>
        <w:autoSpaceDE w:val="0"/>
        <w:autoSpaceDN w:val="0"/>
        <w:adjustRightInd w:val="0"/>
        <w:spacing w:beforeLines="100" w:before="240" w:afterLines="100" w:after="240" w:line="360" w:lineRule="auto"/>
        <w:ind w:left="1560" w:right="414"/>
        <w:jc w:val="both"/>
        <w:rPr>
          <w:rFonts w:ascii="Book Antiqua" w:eastAsia="Calibri" w:hAnsi="Book Antiqua" w:cs="Arial"/>
          <w:b/>
          <w:bCs/>
          <w:i/>
          <w:iCs/>
        </w:rPr>
      </w:pPr>
      <w:r w:rsidRPr="00D26C1B">
        <w:rPr>
          <w:rFonts w:ascii="Book Antiqua" w:eastAsia="Calibri" w:hAnsi="Book Antiqua" w:cs="Arial"/>
          <w:b/>
          <w:bCs/>
          <w:i/>
          <w:iCs/>
        </w:rPr>
        <w:t>Open Access Charges at LT level</w:t>
      </w:r>
    </w:p>
    <w:p w14:paraId="390A485F" w14:textId="3E88A6C7" w:rsidR="00CD7CF9" w:rsidRPr="005A4C7F" w:rsidRDefault="0015546C" w:rsidP="005A4C7F">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D26C1B">
        <w:rPr>
          <w:rFonts w:ascii="Book Antiqua" w:eastAsia="Calibri" w:hAnsi="Book Antiqua" w:cs="Arial"/>
          <w:i/>
          <w:iCs/>
        </w:rPr>
        <w:t>160. The OERC (Promotion of Renewable Energy through Green Energy Open Access)</w:t>
      </w:r>
      <w:r w:rsidR="00637FFC" w:rsidRPr="00D26C1B">
        <w:rPr>
          <w:rFonts w:ascii="Book Antiqua" w:eastAsia="Calibri" w:hAnsi="Book Antiqua" w:cs="Arial"/>
          <w:i/>
          <w:iCs/>
        </w:rPr>
        <w:t xml:space="preserve"> </w:t>
      </w:r>
      <w:r w:rsidRPr="00D26C1B">
        <w:rPr>
          <w:rFonts w:ascii="Book Antiqua" w:eastAsia="Calibri" w:hAnsi="Book Antiqua" w:cs="Arial"/>
          <w:i/>
          <w:iCs/>
        </w:rPr>
        <w:t xml:space="preserve">Regulations, 2023 is applicable to Consumers with Contract Demand or sanctioned load of 100 kW or more, either through one connection or through multiple connection aggregating to 100 kW or more. If a Consumer is availing power supply at LT level with aggregate CD of 100 kW or more, then the Consumer is eligible for availing Green Energy through Open Access. However, the Distribution Licensees have not filed any application for determination of Open Access charges at LT level. However, we have made some provisions in Wheeling Cost towards LT provisionally. </w:t>
      </w:r>
      <w:r w:rsidRPr="00C42A12">
        <w:rPr>
          <w:rFonts w:ascii="Book Antiqua" w:eastAsia="Calibri" w:hAnsi="Book Antiqua" w:cs="Arial"/>
          <w:b/>
          <w:bCs/>
          <w:i/>
          <w:iCs/>
        </w:rPr>
        <w:t xml:space="preserve">Accordingly, the DISCOMs are directed to file the applications for determination of LT Open Access charges for FY 2025-26 by 31st July </w:t>
      </w:r>
      <w:r w:rsidRPr="005A4C7F">
        <w:rPr>
          <w:rFonts w:ascii="Book Antiqua" w:eastAsia="Calibri" w:hAnsi="Book Antiqua" w:cs="Arial"/>
          <w:b/>
          <w:bCs/>
        </w:rPr>
        <w:t xml:space="preserve">2025.                                        </w:t>
      </w:r>
      <w:r w:rsidR="00C42A12" w:rsidRPr="005A4C7F">
        <w:rPr>
          <w:rFonts w:ascii="Book Antiqua" w:eastAsia="Calibri" w:hAnsi="Book Antiqua" w:cs="Arial"/>
          <w:b/>
          <w:bCs/>
        </w:rPr>
        <w:t xml:space="preserve">                                                        </w:t>
      </w:r>
      <w:r w:rsidRPr="005A4C7F">
        <w:rPr>
          <w:rFonts w:ascii="Book Antiqua" w:eastAsia="Calibri" w:hAnsi="Book Antiqua" w:cs="Arial"/>
          <w:b/>
          <w:bCs/>
        </w:rPr>
        <w:t>(Emphasis Supplied)</w:t>
      </w:r>
    </w:p>
    <w:p w14:paraId="62AD653E" w14:textId="6C0AE9DB" w:rsidR="0003214A" w:rsidRPr="0003214A" w:rsidRDefault="0003214A" w:rsidP="0003214A">
      <w:pPr>
        <w:pStyle w:val="Heading1"/>
        <w:numPr>
          <w:ilvl w:val="0"/>
          <w:numId w:val="1"/>
        </w:numPr>
        <w:tabs>
          <w:tab w:val="left" w:pos="3177"/>
          <w:tab w:val="left" w:pos="4886"/>
          <w:tab w:val="left" w:pos="6652"/>
        </w:tabs>
        <w:spacing w:before="120" w:line="360" w:lineRule="auto"/>
        <w:ind w:left="1560" w:right="141"/>
        <w:rPr>
          <w:rFonts w:ascii="Book Antiqua" w:hAnsi="Book Antiqua"/>
          <w:b w:val="0"/>
          <w:bCs w:val="0"/>
        </w:rPr>
      </w:pPr>
      <w:r w:rsidRPr="0003214A">
        <w:rPr>
          <w:rFonts w:ascii="Book Antiqua" w:hAnsi="Book Antiqua"/>
          <w:b w:val="0"/>
          <w:bCs w:val="0"/>
        </w:rPr>
        <w:t xml:space="preserve">That, </w:t>
      </w:r>
      <w:r w:rsidRPr="0003214A">
        <w:rPr>
          <w:rFonts w:ascii="Book Antiqua" w:eastAsia="Calibri" w:hAnsi="Book Antiqua" w:cs="Arial"/>
          <w:b w:val="0"/>
          <w:bCs w:val="0"/>
        </w:rPr>
        <w:t xml:space="preserve">in compliance with the above directive of the Hon’ble Commission, the </w:t>
      </w:r>
      <w:r w:rsidRPr="0003214A">
        <w:rPr>
          <w:rFonts w:ascii="Book Antiqua" w:eastAsia="Calibri" w:hAnsi="Book Antiqua" w:cs="Arial"/>
          <w:b w:val="0"/>
          <w:bCs w:val="0"/>
        </w:rPr>
        <w:lastRenderedPageBreak/>
        <w:t xml:space="preserve">licensee submitted the Application for determination of LTOA charges. The case was registered as </w:t>
      </w:r>
      <w:r w:rsidR="00395DE3">
        <w:rPr>
          <w:rFonts w:ascii="Book Antiqua" w:eastAsia="Calibri" w:hAnsi="Book Antiqua" w:cs="Arial"/>
          <w:b w:val="0"/>
          <w:bCs w:val="0"/>
        </w:rPr>
        <w:t xml:space="preserve">Case no. </w:t>
      </w:r>
      <w:r w:rsidRPr="0003214A">
        <w:rPr>
          <w:rFonts w:ascii="Book Antiqua" w:eastAsia="Calibri" w:hAnsi="Book Antiqua" w:cs="Arial"/>
          <w:b w:val="0"/>
          <w:bCs w:val="0"/>
        </w:rPr>
        <w:t xml:space="preserve">87 of 2025. The hon’ble commission vide interim order dated 18.11.2025 has directed as follows: </w:t>
      </w:r>
    </w:p>
    <w:p w14:paraId="3111F6A2" w14:textId="77777777" w:rsidR="0003214A" w:rsidRPr="0003214A" w:rsidRDefault="0003214A" w:rsidP="0003214A">
      <w:pPr>
        <w:pStyle w:val="Heading1"/>
        <w:tabs>
          <w:tab w:val="left" w:pos="3177"/>
          <w:tab w:val="left" w:pos="4886"/>
          <w:tab w:val="left" w:pos="6652"/>
        </w:tabs>
        <w:spacing w:before="120" w:line="360" w:lineRule="auto"/>
        <w:ind w:left="2694" w:right="141"/>
        <w:rPr>
          <w:rFonts w:ascii="Book Antiqua" w:hAnsi="Book Antiqua"/>
          <w:b w:val="0"/>
          <w:bCs w:val="0"/>
          <w:i/>
          <w:iCs/>
        </w:rPr>
      </w:pPr>
      <w:r w:rsidRPr="0003214A">
        <w:rPr>
          <w:rFonts w:ascii="Book Antiqua" w:hAnsi="Book Antiqua"/>
          <w:b w:val="0"/>
          <w:bCs w:val="0"/>
          <w:i/>
          <w:iCs/>
        </w:rPr>
        <w:t>“…………</w:t>
      </w:r>
    </w:p>
    <w:p w14:paraId="192F690A" w14:textId="77777777" w:rsidR="0003214A" w:rsidRPr="0003214A" w:rsidRDefault="0003214A" w:rsidP="0003214A">
      <w:pPr>
        <w:pStyle w:val="Heading1"/>
        <w:tabs>
          <w:tab w:val="left" w:pos="3177"/>
          <w:tab w:val="left" w:pos="4886"/>
          <w:tab w:val="left" w:pos="6652"/>
        </w:tabs>
        <w:spacing w:before="120" w:line="360" w:lineRule="auto"/>
        <w:ind w:left="2694" w:right="141"/>
        <w:rPr>
          <w:rFonts w:ascii="Book Antiqua" w:hAnsi="Book Antiqua"/>
          <w:b w:val="0"/>
          <w:bCs w:val="0"/>
          <w:i/>
          <w:iCs/>
          <w:highlight w:val="yellow"/>
        </w:rPr>
      </w:pPr>
      <w:r w:rsidRPr="0003214A">
        <w:rPr>
          <w:rFonts w:ascii="Book Antiqua" w:hAnsi="Book Antiqua"/>
          <w:b w:val="0"/>
          <w:bCs w:val="0"/>
          <w:i/>
          <w:iCs/>
        </w:rPr>
        <w:t>The ARR determination process for ensuing financial year is fast approaching. Ordinarily, the DISCOMs do file their applications before the Commission for open access charges during the ARR determination process. Since the LT open access charges is an off-shot of the approved ARR of a particular year, all the four DISCOMs are advised to file their LT Open Access Charges applications during the ensuing tariff proceeding for FY 2026-2</w:t>
      </w:r>
      <w:r w:rsidRPr="001B1303">
        <w:rPr>
          <w:rFonts w:ascii="Book Antiqua" w:hAnsi="Book Antiqua"/>
          <w:b w:val="0"/>
          <w:bCs w:val="0"/>
          <w:i/>
          <w:iCs/>
        </w:rPr>
        <w:t>7…..”</w:t>
      </w:r>
    </w:p>
    <w:p w14:paraId="498EDED9" w14:textId="1396B8E8" w:rsidR="0003214A" w:rsidRDefault="0003214A" w:rsidP="0003214A">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03214A">
        <w:rPr>
          <w:rFonts w:ascii="Book Antiqua" w:eastAsia="Calibri" w:hAnsi="Book Antiqua" w:cs="Arial"/>
        </w:rPr>
        <w:t xml:space="preserve">That, in accordance with the requirement of the Green Open Access Regulations, 2023 and in compliance with the </w:t>
      </w:r>
      <w:r w:rsidRPr="0067256A">
        <w:rPr>
          <w:rFonts w:ascii="Book Antiqua" w:eastAsia="Calibri" w:hAnsi="Book Antiqua" w:cs="Arial"/>
        </w:rPr>
        <w:t>above directive of the Hon’ble Commission, the applicant is herewith submitting the instant Application for determination of Wheeling Charges, Wheeling Losses and Cross Subsidy Surcharge</w:t>
      </w:r>
      <w:r w:rsidRPr="0003214A">
        <w:rPr>
          <w:rFonts w:ascii="Book Antiqua" w:eastAsia="Calibri" w:hAnsi="Book Antiqua" w:cs="Arial"/>
        </w:rPr>
        <w:t xml:space="preserve"> (CSS) for Consumers including the LT segment taking power on Open Access</w:t>
      </w:r>
      <w:r w:rsidR="0080156F">
        <w:rPr>
          <w:rFonts w:ascii="Book Antiqua" w:eastAsia="Calibri" w:hAnsi="Book Antiqua" w:cs="Arial"/>
        </w:rPr>
        <w:t xml:space="preserve"> for FY 2</w:t>
      </w:r>
      <w:r w:rsidR="00841F2E">
        <w:rPr>
          <w:rFonts w:ascii="Book Antiqua" w:eastAsia="Calibri" w:hAnsi="Book Antiqua" w:cs="Arial"/>
        </w:rPr>
        <w:t>6</w:t>
      </w:r>
      <w:r w:rsidR="0080156F">
        <w:rPr>
          <w:rFonts w:ascii="Book Antiqua" w:eastAsia="Calibri" w:hAnsi="Book Antiqua" w:cs="Arial"/>
        </w:rPr>
        <w:t>-2</w:t>
      </w:r>
      <w:r w:rsidR="00841F2E">
        <w:rPr>
          <w:rFonts w:ascii="Book Antiqua" w:eastAsia="Calibri" w:hAnsi="Book Antiqua" w:cs="Arial"/>
        </w:rPr>
        <w:t>7</w:t>
      </w:r>
      <w:r w:rsidRPr="0003214A">
        <w:rPr>
          <w:rFonts w:ascii="Book Antiqua" w:eastAsia="Calibri" w:hAnsi="Book Antiqua" w:cs="Arial"/>
        </w:rPr>
        <w:t>.</w:t>
      </w:r>
    </w:p>
    <w:p w14:paraId="421A7912" w14:textId="4DB925C5" w:rsidR="009E656D" w:rsidRPr="009E656D" w:rsidRDefault="009E656D" w:rsidP="00554E8F">
      <w:pPr>
        <w:pStyle w:val="ListParagraph"/>
        <w:numPr>
          <w:ilvl w:val="4"/>
          <w:numId w:val="9"/>
        </w:numPr>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r w:rsidRPr="009E656D">
        <w:rPr>
          <w:rFonts w:ascii="Book Antiqua" w:eastAsia="Calibri" w:hAnsi="Book Antiqua" w:cs="Arial"/>
          <w:b/>
          <w:bCs/>
        </w:rPr>
        <w:t>Determination of Applicable Open Access Charges for LT Consumers</w:t>
      </w:r>
    </w:p>
    <w:p w14:paraId="624993D1" w14:textId="749DAE51" w:rsidR="00B13592" w:rsidRPr="00B35831" w:rsidRDefault="00B35831" w:rsidP="00554E8F">
      <w:pPr>
        <w:pStyle w:val="ListParagraph"/>
        <w:numPr>
          <w:ilvl w:val="0"/>
          <w:numId w:val="10"/>
        </w:numPr>
        <w:autoSpaceDE w:val="0"/>
        <w:autoSpaceDN w:val="0"/>
        <w:adjustRightInd w:val="0"/>
        <w:spacing w:beforeLines="100" w:before="240" w:afterLines="100" w:after="240" w:line="360" w:lineRule="auto"/>
        <w:ind w:right="414"/>
        <w:contextualSpacing w:val="0"/>
        <w:jc w:val="both"/>
        <w:rPr>
          <w:rFonts w:ascii="Book Antiqua" w:eastAsia="Calibri" w:hAnsi="Book Antiqua" w:cs="Arial"/>
          <w:b/>
          <w:bCs/>
        </w:rPr>
      </w:pPr>
      <w:r w:rsidRPr="00B35831">
        <w:rPr>
          <w:rFonts w:ascii="Book Antiqua" w:eastAsia="Calibri" w:hAnsi="Book Antiqua" w:cs="Arial"/>
          <w:b/>
          <w:bCs/>
        </w:rPr>
        <w:t>Wheeling Losses for LT Consumers</w:t>
      </w:r>
    </w:p>
    <w:p w14:paraId="2884FD36" w14:textId="1BC46F73" w:rsidR="00FE79CB" w:rsidRDefault="00EF199C"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3E0033">
        <w:rPr>
          <w:rFonts w:ascii="Book Antiqua" w:eastAsia="Calibri" w:hAnsi="Book Antiqua" w:cs="Arial"/>
        </w:rPr>
        <w:t xml:space="preserve">That, </w:t>
      </w:r>
      <w:r w:rsidR="001452AC">
        <w:rPr>
          <w:rFonts w:ascii="Book Antiqua" w:eastAsia="Calibri" w:hAnsi="Book Antiqua" w:cs="Arial"/>
        </w:rPr>
        <w:t>t</w:t>
      </w:r>
      <w:r w:rsidR="001452AC" w:rsidRPr="001452AC">
        <w:rPr>
          <w:rFonts w:ascii="Book Antiqua" w:eastAsia="Calibri" w:hAnsi="Book Antiqua" w:cs="Arial"/>
        </w:rPr>
        <w:t xml:space="preserve">he Wheeling losses for LT Consumers has been determined on the basis of Distribution losses, Sales and Input </w:t>
      </w:r>
      <w:r w:rsidR="006E00BC">
        <w:rPr>
          <w:rFonts w:ascii="Book Antiqua" w:eastAsia="Calibri" w:hAnsi="Book Antiqua" w:cs="Arial"/>
        </w:rPr>
        <w:t>proposed</w:t>
      </w:r>
      <w:r w:rsidR="001452AC" w:rsidRPr="001452AC">
        <w:rPr>
          <w:rFonts w:ascii="Book Antiqua" w:eastAsia="Calibri" w:hAnsi="Book Antiqua" w:cs="Arial"/>
        </w:rPr>
        <w:t xml:space="preserve"> in </w:t>
      </w:r>
      <w:r w:rsidR="001017EA">
        <w:rPr>
          <w:rFonts w:ascii="Book Antiqua" w:eastAsia="Calibri" w:hAnsi="Book Antiqua" w:cs="Arial"/>
        </w:rPr>
        <w:t>ARR</w:t>
      </w:r>
      <w:r w:rsidR="001452AC" w:rsidRPr="001452AC">
        <w:rPr>
          <w:rFonts w:ascii="Book Antiqua" w:eastAsia="Calibri" w:hAnsi="Book Antiqua" w:cs="Arial"/>
        </w:rPr>
        <w:t xml:space="preserve"> </w:t>
      </w:r>
      <w:r w:rsidR="001017EA">
        <w:rPr>
          <w:rFonts w:ascii="Book Antiqua" w:eastAsia="Calibri" w:hAnsi="Book Antiqua" w:cs="Arial"/>
        </w:rPr>
        <w:t>Application</w:t>
      </w:r>
      <w:r w:rsidR="001452AC" w:rsidRPr="001452AC">
        <w:rPr>
          <w:rFonts w:ascii="Book Antiqua" w:eastAsia="Calibri" w:hAnsi="Book Antiqua" w:cs="Arial"/>
        </w:rPr>
        <w:t xml:space="preserve"> for FY 202</w:t>
      </w:r>
      <w:r w:rsidR="00A1722C">
        <w:rPr>
          <w:rFonts w:ascii="Book Antiqua" w:eastAsia="Calibri" w:hAnsi="Book Antiqua" w:cs="Arial"/>
        </w:rPr>
        <w:t>6</w:t>
      </w:r>
      <w:r w:rsidR="001452AC" w:rsidRPr="001452AC">
        <w:rPr>
          <w:rFonts w:ascii="Book Antiqua" w:eastAsia="Calibri" w:hAnsi="Book Antiqua" w:cs="Arial"/>
        </w:rPr>
        <w:t>-2</w:t>
      </w:r>
      <w:r w:rsidR="00A1722C">
        <w:rPr>
          <w:rFonts w:ascii="Book Antiqua" w:eastAsia="Calibri" w:hAnsi="Book Antiqua" w:cs="Arial"/>
        </w:rPr>
        <w:t>7</w:t>
      </w:r>
      <w:r w:rsidR="001452AC" w:rsidRPr="001452AC">
        <w:rPr>
          <w:rFonts w:ascii="Book Antiqua" w:eastAsia="Calibri" w:hAnsi="Book Antiqua" w:cs="Arial"/>
        </w:rPr>
        <w:t xml:space="preserve"> dated 24.03.2025.  Further, the HT loss has been considered at 8% for determination of </w:t>
      </w:r>
      <w:r w:rsidR="0056193C">
        <w:rPr>
          <w:rFonts w:ascii="Book Antiqua" w:eastAsia="Calibri" w:hAnsi="Book Antiqua" w:cs="Arial"/>
        </w:rPr>
        <w:t>proposed input at LT</w:t>
      </w:r>
      <w:r w:rsidR="003C5825">
        <w:rPr>
          <w:rFonts w:ascii="Book Antiqua" w:eastAsia="Calibri" w:hAnsi="Book Antiqua" w:cs="Arial"/>
        </w:rPr>
        <w:t xml:space="preserve"> </w:t>
      </w:r>
      <w:r w:rsidR="00D840B2" w:rsidRPr="001452AC">
        <w:rPr>
          <w:rFonts w:ascii="Book Antiqua" w:eastAsia="Calibri" w:hAnsi="Book Antiqua" w:cs="Arial"/>
        </w:rPr>
        <w:t>and</w:t>
      </w:r>
      <w:r w:rsidR="001452AC" w:rsidRPr="001452AC">
        <w:rPr>
          <w:rFonts w:ascii="Book Antiqua" w:eastAsia="Calibri" w:hAnsi="Book Antiqua" w:cs="Arial"/>
        </w:rPr>
        <w:t xml:space="preserve"> the same has been </w:t>
      </w:r>
      <w:r w:rsidR="00A10A28" w:rsidRPr="001452AC">
        <w:rPr>
          <w:rFonts w:ascii="Book Antiqua" w:eastAsia="Calibri" w:hAnsi="Book Antiqua" w:cs="Arial"/>
        </w:rPr>
        <w:t>considered for</w:t>
      </w:r>
      <w:r w:rsidR="001452AC" w:rsidRPr="001452AC">
        <w:rPr>
          <w:rFonts w:ascii="Book Antiqua" w:eastAsia="Calibri" w:hAnsi="Book Antiqua" w:cs="Arial"/>
        </w:rPr>
        <w:t xml:space="preserve"> computation in this instant petition.</w:t>
      </w:r>
    </w:p>
    <w:p w14:paraId="7B0EC824" w14:textId="53923E18" w:rsidR="002865DE" w:rsidRDefault="00AE4A10" w:rsidP="00B9745E">
      <w:pPr>
        <w:pStyle w:val="ListParagraph"/>
        <w:numPr>
          <w:ilvl w:val="0"/>
          <w:numId w:val="1"/>
        </w:numPr>
        <w:autoSpaceDE w:val="0"/>
        <w:autoSpaceDN w:val="0"/>
        <w:adjustRightInd w:val="0"/>
        <w:spacing w:after="0" w:line="360" w:lineRule="auto"/>
        <w:ind w:left="1560" w:right="414"/>
        <w:contextualSpacing w:val="0"/>
        <w:jc w:val="both"/>
        <w:rPr>
          <w:rFonts w:ascii="Book Antiqua" w:eastAsia="Calibri" w:hAnsi="Book Antiqua" w:cs="Arial"/>
        </w:rPr>
      </w:pPr>
      <w:r w:rsidRPr="00B9745E">
        <w:rPr>
          <w:rFonts w:ascii="Book Antiqua" w:eastAsia="Calibri" w:hAnsi="Book Antiqua" w:cs="Arial"/>
        </w:rPr>
        <w:t xml:space="preserve">That, </w:t>
      </w:r>
      <w:r w:rsidR="00597319" w:rsidRPr="00B9745E">
        <w:rPr>
          <w:rFonts w:ascii="Book Antiqua" w:eastAsia="Calibri" w:hAnsi="Book Antiqua" w:cs="Arial"/>
        </w:rPr>
        <w:t>further, it is assumed that when numbers of LT consumers will source power from a single generator</w:t>
      </w:r>
      <w:r w:rsidR="006B2F77">
        <w:rPr>
          <w:rFonts w:ascii="Book Antiqua" w:eastAsia="Calibri" w:hAnsi="Book Antiqua" w:cs="Arial"/>
        </w:rPr>
        <w:t xml:space="preserve"> through Open Access (OA)</w:t>
      </w:r>
      <w:r w:rsidR="00597319" w:rsidRPr="00B9745E">
        <w:rPr>
          <w:rFonts w:ascii="Book Antiqua" w:eastAsia="Calibri" w:hAnsi="Book Antiqua" w:cs="Arial"/>
        </w:rPr>
        <w:t xml:space="preserve">, the power will be injected either at EHT or HT level. </w:t>
      </w:r>
      <w:r w:rsidR="00251E1E">
        <w:rPr>
          <w:rFonts w:ascii="Book Antiqua" w:eastAsia="Calibri" w:hAnsi="Book Antiqua" w:cs="Arial"/>
        </w:rPr>
        <w:t>Accordingly, t</w:t>
      </w:r>
      <w:r w:rsidR="00597319" w:rsidRPr="00B9745E">
        <w:rPr>
          <w:rFonts w:ascii="Book Antiqua" w:eastAsia="Calibri" w:hAnsi="Book Antiqua" w:cs="Arial"/>
        </w:rPr>
        <w:t>he computation of the applicable Wheeling loss for LT</w:t>
      </w:r>
      <w:r w:rsidR="007E702C">
        <w:rPr>
          <w:rFonts w:ascii="Book Antiqua" w:eastAsia="Calibri" w:hAnsi="Book Antiqua" w:cs="Arial"/>
        </w:rPr>
        <w:t xml:space="preserve"> </w:t>
      </w:r>
      <w:r w:rsidR="00597319" w:rsidRPr="00B9745E">
        <w:rPr>
          <w:rFonts w:ascii="Book Antiqua" w:eastAsia="Calibri" w:hAnsi="Book Antiqua" w:cs="Arial"/>
        </w:rPr>
        <w:t>Consumers is as given in the table below</w:t>
      </w:r>
      <w:r w:rsidR="00E92A54">
        <w:rPr>
          <w:rFonts w:ascii="Book Antiqua" w:eastAsia="Calibri" w:hAnsi="Book Antiqua" w:cs="Arial"/>
        </w:rPr>
        <w:t xml:space="preserve">. </w:t>
      </w:r>
      <w:r w:rsidR="008141E6">
        <w:rPr>
          <w:rFonts w:ascii="Book Antiqua" w:eastAsia="Calibri" w:hAnsi="Book Antiqua" w:cs="Arial"/>
        </w:rPr>
        <w:t>Further, the Licensee</w:t>
      </w:r>
      <w:r w:rsidR="008141E6" w:rsidRPr="008B51C9">
        <w:rPr>
          <w:rFonts w:ascii="Book Antiqua" w:eastAsia="Calibri" w:hAnsi="Book Antiqua" w:cs="Arial"/>
        </w:rPr>
        <w:t xml:space="preserve"> ha</w:t>
      </w:r>
      <w:r w:rsidR="00D10A88">
        <w:rPr>
          <w:rFonts w:ascii="Book Antiqua" w:eastAsia="Calibri" w:hAnsi="Book Antiqua" w:cs="Arial"/>
        </w:rPr>
        <w:t>s</w:t>
      </w:r>
      <w:r w:rsidR="008141E6" w:rsidRPr="008B51C9">
        <w:rPr>
          <w:rFonts w:ascii="Book Antiqua" w:eastAsia="Calibri" w:hAnsi="Book Antiqua" w:cs="Arial"/>
        </w:rPr>
        <w:t xml:space="preserve"> computed the wheeling </w:t>
      </w:r>
      <w:r w:rsidR="00B72C76">
        <w:rPr>
          <w:rFonts w:ascii="Book Antiqua" w:eastAsia="Calibri" w:hAnsi="Book Antiqua" w:cs="Arial"/>
        </w:rPr>
        <w:t>losses</w:t>
      </w:r>
      <w:r w:rsidR="008141E6" w:rsidRPr="008B51C9">
        <w:rPr>
          <w:rFonts w:ascii="Book Antiqua" w:eastAsia="Calibri" w:hAnsi="Book Antiqua" w:cs="Arial"/>
        </w:rPr>
        <w:t xml:space="preserve"> based on </w:t>
      </w:r>
      <w:r w:rsidR="00D90DF6">
        <w:rPr>
          <w:rFonts w:ascii="Book Antiqua" w:eastAsia="Calibri" w:hAnsi="Book Antiqua" w:cs="Arial"/>
        </w:rPr>
        <w:t xml:space="preserve">input &amp; </w:t>
      </w:r>
      <w:r w:rsidR="00084541">
        <w:rPr>
          <w:rFonts w:ascii="Book Antiqua" w:eastAsia="Calibri" w:hAnsi="Book Antiqua" w:cs="Arial"/>
        </w:rPr>
        <w:t>sales</w:t>
      </w:r>
      <w:r w:rsidR="008141E6" w:rsidRPr="008B51C9">
        <w:rPr>
          <w:rFonts w:ascii="Book Antiqua" w:eastAsia="Calibri" w:hAnsi="Book Antiqua" w:cs="Arial"/>
        </w:rPr>
        <w:t xml:space="preserve"> </w:t>
      </w:r>
      <w:r w:rsidR="00084541">
        <w:rPr>
          <w:rFonts w:ascii="Book Antiqua" w:eastAsia="Calibri" w:hAnsi="Book Antiqua" w:cs="Arial"/>
        </w:rPr>
        <w:t xml:space="preserve">quantum </w:t>
      </w:r>
      <w:r w:rsidR="008141E6" w:rsidRPr="008B51C9">
        <w:rPr>
          <w:rFonts w:ascii="Book Antiqua" w:eastAsia="Calibri" w:hAnsi="Book Antiqua" w:cs="Arial"/>
        </w:rPr>
        <w:t xml:space="preserve">proposed in ARR </w:t>
      </w:r>
      <w:r w:rsidR="006030A6">
        <w:rPr>
          <w:rFonts w:ascii="Book Antiqua" w:eastAsia="Calibri" w:hAnsi="Book Antiqua" w:cs="Arial"/>
        </w:rPr>
        <w:t>for FY 2</w:t>
      </w:r>
      <w:r w:rsidR="009C747F">
        <w:rPr>
          <w:rFonts w:ascii="Book Antiqua" w:eastAsia="Calibri" w:hAnsi="Book Antiqua" w:cs="Arial"/>
        </w:rPr>
        <w:t>02</w:t>
      </w:r>
      <w:r w:rsidR="00AD7DC1">
        <w:rPr>
          <w:rFonts w:ascii="Book Antiqua" w:eastAsia="Calibri" w:hAnsi="Book Antiqua" w:cs="Arial"/>
        </w:rPr>
        <w:t>6</w:t>
      </w:r>
      <w:r w:rsidR="006030A6">
        <w:rPr>
          <w:rFonts w:ascii="Book Antiqua" w:eastAsia="Calibri" w:hAnsi="Book Antiqua" w:cs="Arial"/>
        </w:rPr>
        <w:t>-2</w:t>
      </w:r>
      <w:r w:rsidR="00AD7DC1">
        <w:rPr>
          <w:rFonts w:ascii="Book Antiqua" w:eastAsia="Calibri" w:hAnsi="Book Antiqua" w:cs="Arial"/>
        </w:rPr>
        <w:t>7</w:t>
      </w:r>
      <w:r w:rsidR="008141E6" w:rsidRPr="008B51C9">
        <w:rPr>
          <w:rFonts w:ascii="Book Antiqua" w:eastAsia="Calibri" w:hAnsi="Book Antiqua" w:cs="Arial"/>
        </w:rPr>
        <w:t>.</w:t>
      </w:r>
      <w:r w:rsidR="0043236A">
        <w:rPr>
          <w:rFonts w:ascii="Book Antiqua" w:eastAsia="Calibri" w:hAnsi="Book Antiqua" w:cs="Arial"/>
        </w:rPr>
        <w:t xml:space="preserve"> </w:t>
      </w:r>
      <w:r w:rsidR="0043236A" w:rsidRPr="008B51C9">
        <w:rPr>
          <w:rFonts w:ascii="Book Antiqua" w:eastAsia="Calibri" w:hAnsi="Book Antiqua" w:cs="Arial"/>
        </w:rPr>
        <w:t xml:space="preserve">As </w:t>
      </w:r>
      <w:r w:rsidR="00022C4B">
        <w:rPr>
          <w:rFonts w:ascii="Book Antiqua" w:eastAsia="Calibri" w:hAnsi="Book Antiqua" w:cs="Arial"/>
        </w:rPr>
        <w:t xml:space="preserve">per </w:t>
      </w:r>
      <w:r w:rsidR="0043236A" w:rsidRPr="008B51C9">
        <w:rPr>
          <w:rFonts w:ascii="Book Antiqua" w:eastAsia="Calibri" w:hAnsi="Book Antiqua" w:cs="Arial"/>
        </w:rPr>
        <w:t xml:space="preserve">the </w:t>
      </w:r>
      <w:r w:rsidR="00E56CFF">
        <w:rPr>
          <w:rFonts w:ascii="Book Antiqua" w:eastAsia="Calibri" w:hAnsi="Book Antiqua" w:cs="Arial"/>
        </w:rPr>
        <w:t>projected</w:t>
      </w:r>
      <w:r w:rsidR="0043236A" w:rsidRPr="008B51C9">
        <w:rPr>
          <w:rFonts w:ascii="Book Antiqua" w:eastAsia="Calibri" w:hAnsi="Book Antiqua" w:cs="Arial"/>
        </w:rPr>
        <w:t xml:space="preserve"> </w:t>
      </w:r>
      <w:r w:rsidR="002500A8">
        <w:rPr>
          <w:rFonts w:ascii="Book Antiqua" w:eastAsia="Calibri" w:hAnsi="Book Antiqua" w:cs="Arial"/>
        </w:rPr>
        <w:t xml:space="preserve">input &amp; </w:t>
      </w:r>
      <w:r w:rsidR="0043236A">
        <w:rPr>
          <w:rFonts w:ascii="Book Antiqua" w:eastAsia="Calibri" w:hAnsi="Book Antiqua" w:cs="Arial"/>
        </w:rPr>
        <w:t>sales</w:t>
      </w:r>
      <w:r w:rsidR="0043236A" w:rsidRPr="008B51C9">
        <w:rPr>
          <w:rFonts w:ascii="Book Antiqua" w:eastAsia="Calibri" w:hAnsi="Book Antiqua" w:cs="Arial"/>
        </w:rPr>
        <w:t xml:space="preserve"> for FY 202</w:t>
      </w:r>
      <w:r w:rsidR="00E56CFF">
        <w:rPr>
          <w:rFonts w:ascii="Book Antiqua" w:eastAsia="Calibri" w:hAnsi="Book Antiqua" w:cs="Arial"/>
        </w:rPr>
        <w:t>6</w:t>
      </w:r>
      <w:r w:rsidR="0043236A" w:rsidRPr="008B51C9">
        <w:rPr>
          <w:rFonts w:ascii="Book Antiqua" w:eastAsia="Calibri" w:hAnsi="Book Antiqua" w:cs="Arial"/>
        </w:rPr>
        <w:t>-2</w:t>
      </w:r>
      <w:r w:rsidR="00E56CFF">
        <w:rPr>
          <w:rFonts w:ascii="Book Antiqua" w:eastAsia="Calibri" w:hAnsi="Book Antiqua" w:cs="Arial"/>
        </w:rPr>
        <w:t>7</w:t>
      </w:r>
      <w:r w:rsidR="0043236A" w:rsidRPr="008B51C9">
        <w:rPr>
          <w:rFonts w:ascii="Book Antiqua" w:eastAsia="Calibri" w:hAnsi="Book Antiqua" w:cs="Arial"/>
        </w:rPr>
        <w:t xml:space="preserve"> below</w:t>
      </w:r>
      <w:r w:rsidR="00022C4B">
        <w:rPr>
          <w:rFonts w:ascii="Book Antiqua" w:eastAsia="Calibri" w:hAnsi="Book Antiqua" w:cs="Arial"/>
        </w:rPr>
        <w:t xml:space="preserve"> </w:t>
      </w:r>
      <w:r w:rsidR="007C7F4D" w:rsidRPr="008B51C9">
        <w:rPr>
          <w:rFonts w:ascii="Book Antiqua" w:eastAsia="Calibri" w:hAnsi="Book Antiqua" w:cs="Arial"/>
        </w:rPr>
        <w:t>computations</w:t>
      </w:r>
      <w:r w:rsidR="0043236A" w:rsidRPr="008B51C9">
        <w:rPr>
          <w:rFonts w:ascii="Book Antiqua" w:eastAsia="Calibri" w:hAnsi="Book Antiqua" w:cs="Arial"/>
        </w:rPr>
        <w:t xml:space="preserve"> </w:t>
      </w:r>
      <w:r w:rsidR="00022C4B">
        <w:rPr>
          <w:rFonts w:ascii="Book Antiqua" w:eastAsia="Calibri" w:hAnsi="Book Antiqua" w:cs="Arial"/>
        </w:rPr>
        <w:t xml:space="preserve">has been </w:t>
      </w:r>
      <w:r w:rsidR="00886E22">
        <w:rPr>
          <w:rFonts w:ascii="Book Antiqua" w:eastAsia="Calibri" w:hAnsi="Book Antiqua" w:cs="Arial"/>
        </w:rPr>
        <w:t xml:space="preserve">made </w:t>
      </w:r>
      <w:r w:rsidR="0043236A" w:rsidRPr="008B51C9">
        <w:rPr>
          <w:rFonts w:ascii="Book Antiqua" w:eastAsia="Calibri" w:hAnsi="Book Antiqua" w:cs="Arial"/>
        </w:rPr>
        <w:t xml:space="preserve">for </w:t>
      </w:r>
      <w:r w:rsidR="0043236A">
        <w:rPr>
          <w:rFonts w:ascii="Book Antiqua" w:eastAsia="Calibri" w:hAnsi="Book Antiqua" w:cs="Arial"/>
        </w:rPr>
        <w:t xml:space="preserve">kind </w:t>
      </w:r>
      <w:r w:rsidR="0043236A" w:rsidRPr="008B51C9">
        <w:rPr>
          <w:rFonts w:ascii="Book Antiqua" w:eastAsia="Calibri" w:hAnsi="Book Antiqua" w:cs="Arial"/>
        </w:rPr>
        <w:t>consideration of the Hon’ble Commission</w:t>
      </w:r>
      <w:r w:rsidR="007C7F4D">
        <w:rPr>
          <w:rFonts w:ascii="Book Antiqua" w:eastAsia="Calibri" w:hAnsi="Book Antiqua" w:cs="Arial"/>
        </w:rPr>
        <w:t>.</w:t>
      </w:r>
    </w:p>
    <w:p w14:paraId="6F60C4E9" w14:textId="77777777" w:rsidR="00477261" w:rsidRDefault="00477261" w:rsidP="00084541">
      <w:pPr>
        <w:pStyle w:val="ListParagraph"/>
        <w:autoSpaceDE w:val="0"/>
        <w:autoSpaceDN w:val="0"/>
        <w:adjustRightInd w:val="0"/>
        <w:spacing w:after="0" w:line="240" w:lineRule="exact"/>
        <w:ind w:left="1559" w:right="414"/>
        <w:jc w:val="center"/>
        <w:rPr>
          <w:rFonts w:ascii="Book Antiqua" w:hAnsi="Book Antiqua" w:cstheme="minorHAnsi"/>
          <w:b/>
          <w:bCs/>
        </w:rPr>
      </w:pPr>
    </w:p>
    <w:p w14:paraId="04BEB6F6" w14:textId="5690D6AB" w:rsidR="00B05118" w:rsidRDefault="0012403B" w:rsidP="00084541">
      <w:pPr>
        <w:pStyle w:val="ListParagraph"/>
        <w:autoSpaceDE w:val="0"/>
        <w:autoSpaceDN w:val="0"/>
        <w:adjustRightInd w:val="0"/>
        <w:spacing w:after="0" w:line="240" w:lineRule="exact"/>
        <w:ind w:left="1559" w:right="414"/>
        <w:jc w:val="center"/>
        <w:rPr>
          <w:rFonts w:ascii="Book Antiqua" w:hAnsi="Book Antiqua" w:cstheme="minorHAnsi"/>
          <w:b/>
          <w:bCs/>
        </w:rPr>
      </w:pPr>
      <w:r w:rsidRPr="0012403B">
        <w:rPr>
          <w:rFonts w:ascii="Book Antiqua" w:hAnsi="Book Antiqua" w:cstheme="minorHAnsi"/>
          <w:b/>
          <w:bCs/>
        </w:rPr>
        <w:lastRenderedPageBreak/>
        <w:t xml:space="preserve">Table </w:t>
      </w:r>
      <w:r w:rsidRPr="0012403B">
        <w:rPr>
          <w:rFonts w:ascii="Book Antiqua" w:hAnsi="Book Antiqua" w:cstheme="minorHAnsi"/>
          <w:b/>
          <w:bCs/>
          <w:i/>
          <w:iCs/>
        </w:rPr>
        <w:fldChar w:fldCharType="begin"/>
      </w:r>
      <w:r w:rsidRPr="0012403B">
        <w:rPr>
          <w:rFonts w:ascii="Book Antiqua" w:hAnsi="Book Antiqua" w:cstheme="minorHAnsi"/>
          <w:b/>
          <w:bCs/>
        </w:rPr>
        <w:instrText xml:space="preserve"> SEQ Table \* ARABIC </w:instrText>
      </w:r>
      <w:r w:rsidRPr="0012403B">
        <w:rPr>
          <w:rFonts w:ascii="Book Antiqua" w:hAnsi="Book Antiqua" w:cstheme="minorHAnsi"/>
          <w:b/>
          <w:bCs/>
          <w:i/>
          <w:iCs/>
        </w:rPr>
        <w:fldChar w:fldCharType="separate"/>
      </w:r>
      <w:r w:rsidR="00B407DC">
        <w:rPr>
          <w:rFonts w:ascii="Book Antiqua" w:hAnsi="Book Antiqua" w:cstheme="minorHAnsi"/>
          <w:b/>
          <w:bCs/>
          <w:noProof/>
        </w:rPr>
        <w:t>1</w:t>
      </w:r>
      <w:r w:rsidRPr="0012403B">
        <w:rPr>
          <w:rFonts w:ascii="Book Antiqua" w:hAnsi="Book Antiqua" w:cstheme="minorHAnsi"/>
          <w:b/>
          <w:bCs/>
          <w:i/>
          <w:iCs/>
        </w:rPr>
        <w:fldChar w:fldCharType="end"/>
      </w:r>
      <w:r w:rsidRPr="0012403B">
        <w:rPr>
          <w:rFonts w:ascii="Book Antiqua" w:hAnsi="Book Antiqua" w:cstheme="minorHAnsi"/>
          <w:b/>
          <w:bCs/>
        </w:rPr>
        <w:t>: Wheeling Losses for LT Consumers for TP</w:t>
      </w:r>
      <w:r w:rsidR="00157F19">
        <w:rPr>
          <w:rFonts w:ascii="Book Antiqua" w:hAnsi="Book Antiqua" w:cstheme="minorHAnsi"/>
          <w:b/>
          <w:bCs/>
        </w:rPr>
        <w:t>W</w:t>
      </w:r>
      <w:r w:rsidRPr="0012403B">
        <w:rPr>
          <w:rFonts w:ascii="Book Antiqua" w:hAnsi="Book Antiqua" w:cstheme="minorHAnsi"/>
          <w:b/>
          <w:bCs/>
        </w:rPr>
        <w:t>ODL</w:t>
      </w:r>
    </w:p>
    <w:p w14:paraId="070E4BF1" w14:textId="4EDEB2CE" w:rsidR="00697640" w:rsidRPr="0012403B" w:rsidRDefault="00697640" w:rsidP="00084541">
      <w:pPr>
        <w:pStyle w:val="ListParagraph"/>
        <w:autoSpaceDE w:val="0"/>
        <w:autoSpaceDN w:val="0"/>
        <w:adjustRightInd w:val="0"/>
        <w:spacing w:after="0" w:line="240" w:lineRule="exact"/>
        <w:ind w:left="1559" w:right="414"/>
        <w:jc w:val="center"/>
        <w:rPr>
          <w:rFonts w:ascii="Book Antiqua" w:eastAsia="Calibri" w:hAnsi="Book Antiqua" w:cs="Arial"/>
        </w:rPr>
      </w:pPr>
      <w:r w:rsidRPr="00FE6231">
        <w:rPr>
          <w:rFonts w:ascii="Book Antiqua" w:hAnsi="Book Antiqua" w:cstheme="minorHAnsi"/>
          <w:b/>
          <w:bCs/>
        </w:rPr>
        <w:t xml:space="preserve">(Based on </w:t>
      </w:r>
      <w:r w:rsidR="00DC4124">
        <w:rPr>
          <w:rFonts w:ascii="Book Antiqua" w:hAnsi="Book Antiqua" w:cstheme="minorHAnsi"/>
          <w:b/>
          <w:bCs/>
        </w:rPr>
        <w:t>Input/Sales</w:t>
      </w:r>
      <w:r w:rsidR="00DC4124" w:rsidRPr="00FE6231">
        <w:rPr>
          <w:rFonts w:ascii="Book Antiqua" w:hAnsi="Book Antiqua" w:cstheme="minorHAnsi"/>
          <w:b/>
          <w:bCs/>
        </w:rPr>
        <w:t xml:space="preserve"> </w:t>
      </w:r>
      <w:r w:rsidRPr="00FE6231">
        <w:rPr>
          <w:rFonts w:ascii="Book Antiqua" w:hAnsi="Book Antiqua" w:cstheme="minorHAnsi"/>
          <w:b/>
          <w:bCs/>
        </w:rPr>
        <w:t>Proposed in ARR FY 202</w:t>
      </w:r>
      <w:r w:rsidR="001A468F">
        <w:rPr>
          <w:rFonts w:ascii="Book Antiqua" w:hAnsi="Book Antiqua" w:cstheme="minorHAnsi"/>
          <w:b/>
          <w:bCs/>
        </w:rPr>
        <w:t>6</w:t>
      </w:r>
      <w:r w:rsidRPr="00FE6231">
        <w:rPr>
          <w:rFonts w:ascii="Book Antiqua" w:hAnsi="Book Antiqua" w:cstheme="minorHAnsi"/>
          <w:b/>
          <w:bCs/>
        </w:rPr>
        <w:t>-2</w:t>
      </w:r>
      <w:r w:rsidR="001A468F">
        <w:rPr>
          <w:rFonts w:ascii="Book Antiqua" w:hAnsi="Book Antiqua" w:cstheme="minorHAnsi"/>
          <w:b/>
          <w:bCs/>
        </w:rPr>
        <w:t>7</w:t>
      </w:r>
      <w:r w:rsidRPr="00FE6231">
        <w:rPr>
          <w:rFonts w:ascii="Book Antiqua" w:hAnsi="Book Antiqua" w:cstheme="minorHAnsi"/>
          <w:b/>
          <w:bCs/>
        </w:rPr>
        <w:t>)</w:t>
      </w:r>
    </w:p>
    <w:tbl>
      <w:tblPr>
        <w:tblW w:w="8522" w:type="dxa"/>
        <w:jc w:val="right"/>
        <w:tblLook w:val="04A0" w:firstRow="1" w:lastRow="0" w:firstColumn="1" w:lastColumn="0" w:noHBand="0" w:noVBand="1"/>
      </w:tblPr>
      <w:tblGrid>
        <w:gridCol w:w="1417"/>
        <w:gridCol w:w="5075"/>
        <w:gridCol w:w="903"/>
        <w:gridCol w:w="1127"/>
      </w:tblGrid>
      <w:tr w:rsidR="00443C9B" w:rsidRPr="00443C9B" w14:paraId="1D01120B" w14:textId="77777777" w:rsidTr="00DE454E">
        <w:trPr>
          <w:trHeight w:val="290"/>
          <w:jc w:val="right"/>
        </w:trPr>
        <w:tc>
          <w:tcPr>
            <w:tcW w:w="1417"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BF36054" w14:textId="77777777" w:rsidR="00443C9B" w:rsidRPr="00443C9B" w:rsidRDefault="00443C9B" w:rsidP="00443C9B">
            <w:pPr>
              <w:spacing w:after="0" w:line="240" w:lineRule="auto"/>
              <w:jc w:val="center"/>
              <w:rPr>
                <w:rFonts w:ascii="Book Antiqua" w:eastAsia="Times New Roman" w:hAnsi="Book Antiqua" w:cs="Calibri"/>
                <w:b/>
                <w:bCs/>
                <w:color w:val="000000"/>
                <w:sz w:val="20"/>
                <w:szCs w:val="20"/>
                <w:lang w:eastAsia="en-IN"/>
              </w:rPr>
            </w:pPr>
            <w:r w:rsidRPr="00443C9B">
              <w:rPr>
                <w:rFonts w:ascii="Book Antiqua" w:eastAsia="Times New Roman" w:hAnsi="Book Antiqua" w:cs="Calibri"/>
                <w:b/>
                <w:bCs/>
                <w:color w:val="000000"/>
                <w:sz w:val="20"/>
                <w:szCs w:val="20"/>
                <w:lang w:eastAsia="en-IN"/>
              </w:rPr>
              <w:t>Sr No</w:t>
            </w:r>
          </w:p>
        </w:tc>
        <w:tc>
          <w:tcPr>
            <w:tcW w:w="5075" w:type="dxa"/>
            <w:tcBorders>
              <w:top w:val="single" w:sz="4" w:space="0" w:color="auto"/>
              <w:left w:val="nil"/>
              <w:bottom w:val="single" w:sz="4" w:space="0" w:color="auto"/>
              <w:right w:val="single" w:sz="4" w:space="0" w:color="auto"/>
            </w:tcBorders>
            <w:shd w:val="clear" w:color="000000" w:fill="BDD7EE"/>
            <w:noWrap/>
            <w:vAlign w:val="center"/>
            <w:hideMark/>
          </w:tcPr>
          <w:p w14:paraId="42C37299" w14:textId="77777777" w:rsidR="00443C9B" w:rsidRPr="00443C9B" w:rsidRDefault="00443C9B" w:rsidP="00443C9B">
            <w:pPr>
              <w:spacing w:after="0" w:line="240" w:lineRule="auto"/>
              <w:rPr>
                <w:rFonts w:ascii="Book Antiqua" w:eastAsia="Times New Roman" w:hAnsi="Book Antiqua" w:cs="Calibri"/>
                <w:b/>
                <w:bCs/>
                <w:color w:val="000000"/>
                <w:sz w:val="20"/>
                <w:szCs w:val="20"/>
                <w:lang w:eastAsia="en-IN"/>
              </w:rPr>
            </w:pPr>
            <w:r w:rsidRPr="00443C9B">
              <w:rPr>
                <w:rFonts w:ascii="Book Antiqua" w:eastAsia="Times New Roman" w:hAnsi="Book Antiqua" w:cs="Calibri"/>
                <w:b/>
                <w:bCs/>
                <w:color w:val="000000"/>
                <w:sz w:val="20"/>
                <w:szCs w:val="20"/>
                <w:lang w:eastAsia="en-IN"/>
              </w:rPr>
              <w:t>Particulars</w:t>
            </w:r>
          </w:p>
        </w:tc>
        <w:tc>
          <w:tcPr>
            <w:tcW w:w="903" w:type="dxa"/>
            <w:tcBorders>
              <w:top w:val="single" w:sz="4" w:space="0" w:color="auto"/>
              <w:left w:val="nil"/>
              <w:bottom w:val="single" w:sz="4" w:space="0" w:color="auto"/>
              <w:right w:val="single" w:sz="4" w:space="0" w:color="auto"/>
            </w:tcBorders>
            <w:shd w:val="clear" w:color="000000" w:fill="BDD7EE"/>
            <w:noWrap/>
            <w:vAlign w:val="center"/>
            <w:hideMark/>
          </w:tcPr>
          <w:p w14:paraId="5F1029A0" w14:textId="77777777" w:rsidR="00443C9B" w:rsidRPr="00443C9B" w:rsidRDefault="00443C9B" w:rsidP="00443C9B">
            <w:pPr>
              <w:spacing w:after="0" w:line="240" w:lineRule="auto"/>
              <w:jc w:val="center"/>
              <w:rPr>
                <w:rFonts w:ascii="Book Antiqua" w:eastAsia="Times New Roman" w:hAnsi="Book Antiqua" w:cs="Calibri"/>
                <w:b/>
                <w:bCs/>
                <w:color w:val="000000"/>
                <w:sz w:val="20"/>
                <w:szCs w:val="20"/>
                <w:lang w:eastAsia="en-IN"/>
              </w:rPr>
            </w:pPr>
            <w:r w:rsidRPr="00443C9B">
              <w:rPr>
                <w:rFonts w:ascii="Book Antiqua" w:eastAsia="Times New Roman" w:hAnsi="Book Antiqua" w:cs="Calibri"/>
                <w:b/>
                <w:bCs/>
                <w:color w:val="000000"/>
                <w:sz w:val="20"/>
                <w:szCs w:val="20"/>
                <w:lang w:eastAsia="en-IN"/>
              </w:rPr>
              <w:t>Unit</w:t>
            </w:r>
          </w:p>
        </w:tc>
        <w:tc>
          <w:tcPr>
            <w:tcW w:w="1127" w:type="dxa"/>
            <w:tcBorders>
              <w:top w:val="single" w:sz="4" w:space="0" w:color="auto"/>
              <w:left w:val="nil"/>
              <w:bottom w:val="single" w:sz="4" w:space="0" w:color="auto"/>
              <w:right w:val="single" w:sz="4" w:space="0" w:color="auto"/>
            </w:tcBorders>
            <w:shd w:val="clear" w:color="000000" w:fill="BDD7EE"/>
            <w:noWrap/>
            <w:vAlign w:val="center"/>
            <w:hideMark/>
          </w:tcPr>
          <w:p w14:paraId="0A19DB5C" w14:textId="77777777" w:rsidR="00443C9B" w:rsidRPr="00443C9B" w:rsidRDefault="00443C9B" w:rsidP="00443C9B">
            <w:pPr>
              <w:spacing w:after="0" w:line="240" w:lineRule="auto"/>
              <w:rPr>
                <w:rFonts w:ascii="Book Antiqua" w:eastAsia="Times New Roman" w:hAnsi="Book Antiqua" w:cs="Calibri"/>
                <w:b/>
                <w:bCs/>
                <w:color w:val="000000"/>
                <w:sz w:val="20"/>
                <w:szCs w:val="20"/>
                <w:lang w:eastAsia="en-IN"/>
              </w:rPr>
            </w:pPr>
            <w:r w:rsidRPr="00443C9B">
              <w:rPr>
                <w:rFonts w:ascii="Book Antiqua" w:eastAsia="Times New Roman" w:hAnsi="Book Antiqua" w:cs="Calibri"/>
                <w:b/>
                <w:bCs/>
                <w:color w:val="000000"/>
                <w:sz w:val="20"/>
                <w:szCs w:val="20"/>
                <w:lang w:eastAsia="en-IN"/>
              </w:rPr>
              <w:t>TPWODL</w:t>
            </w:r>
          </w:p>
        </w:tc>
      </w:tr>
      <w:tr w:rsidR="00443C9B" w:rsidRPr="00443C9B" w14:paraId="29264F44"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4D1DFD9F"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w:t>
            </w:r>
          </w:p>
        </w:tc>
        <w:tc>
          <w:tcPr>
            <w:tcW w:w="5075" w:type="dxa"/>
            <w:tcBorders>
              <w:top w:val="nil"/>
              <w:left w:val="nil"/>
              <w:bottom w:val="single" w:sz="4" w:space="0" w:color="auto"/>
              <w:right w:val="single" w:sz="4" w:space="0" w:color="auto"/>
            </w:tcBorders>
            <w:noWrap/>
            <w:vAlign w:val="center"/>
            <w:hideMark/>
          </w:tcPr>
          <w:p w14:paraId="12979D7F"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Total Power Purchase (Input)</w:t>
            </w:r>
          </w:p>
        </w:tc>
        <w:tc>
          <w:tcPr>
            <w:tcW w:w="903" w:type="dxa"/>
            <w:tcBorders>
              <w:top w:val="nil"/>
              <w:left w:val="nil"/>
              <w:bottom w:val="single" w:sz="4" w:space="0" w:color="auto"/>
              <w:right w:val="single" w:sz="4" w:space="0" w:color="auto"/>
            </w:tcBorders>
            <w:noWrap/>
            <w:vAlign w:val="center"/>
            <w:hideMark/>
          </w:tcPr>
          <w:p w14:paraId="5D81D7B8"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593D8BBA"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11953</w:t>
            </w:r>
          </w:p>
        </w:tc>
      </w:tr>
      <w:tr w:rsidR="00443C9B" w:rsidRPr="00443C9B" w14:paraId="495F00AD"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3DBB9E5F"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2</w:t>
            </w:r>
          </w:p>
        </w:tc>
        <w:tc>
          <w:tcPr>
            <w:tcW w:w="5075" w:type="dxa"/>
            <w:tcBorders>
              <w:top w:val="nil"/>
              <w:left w:val="nil"/>
              <w:bottom w:val="single" w:sz="4" w:space="0" w:color="auto"/>
              <w:right w:val="single" w:sz="4" w:space="0" w:color="auto"/>
            </w:tcBorders>
            <w:noWrap/>
            <w:vAlign w:val="center"/>
            <w:hideMark/>
          </w:tcPr>
          <w:p w14:paraId="61B784F7"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Allowed Distribution Losses (Tariff Category)</w:t>
            </w:r>
          </w:p>
        </w:tc>
        <w:tc>
          <w:tcPr>
            <w:tcW w:w="903" w:type="dxa"/>
            <w:tcBorders>
              <w:top w:val="nil"/>
              <w:left w:val="nil"/>
              <w:bottom w:val="single" w:sz="4" w:space="0" w:color="auto"/>
              <w:right w:val="single" w:sz="4" w:space="0" w:color="auto"/>
            </w:tcBorders>
            <w:noWrap/>
            <w:vAlign w:val="center"/>
            <w:hideMark/>
          </w:tcPr>
          <w:p w14:paraId="5874EB7E"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w:t>
            </w:r>
          </w:p>
        </w:tc>
        <w:tc>
          <w:tcPr>
            <w:tcW w:w="1127" w:type="dxa"/>
            <w:tcBorders>
              <w:top w:val="nil"/>
              <w:left w:val="nil"/>
              <w:bottom w:val="single" w:sz="4" w:space="0" w:color="auto"/>
              <w:right w:val="single" w:sz="4" w:space="0" w:color="auto"/>
            </w:tcBorders>
            <w:noWrap/>
            <w:vAlign w:val="center"/>
            <w:hideMark/>
          </w:tcPr>
          <w:p w14:paraId="187B32F8"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13.64%</w:t>
            </w:r>
          </w:p>
        </w:tc>
      </w:tr>
      <w:tr w:rsidR="00443C9B" w:rsidRPr="00443C9B" w14:paraId="466123C7"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5CA9C99C"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3</w:t>
            </w:r>
          </w:p>
        </w:tc>
        <w:tc>
          <w:tcPr>
            <w:tcW w:w="5075" w:type="dxa"/>
            <w:tcBorders>
              <w:top w:val="nil"/>
              <w:left w:val="nil"/>
              <w:bottom w:val="single" w:sz="4" w:space="0" w:color="auto"/>
              <w:right w:val="single" w:sz="4" w:space="0" w:color="auto"/>
            </w:tcBorders>
            <w:noWrap/>
            <w:vAlign w:val="center"/>
            <w:hideMark/>
          </w:tcPr>
          <w:p w14:paraId="78A83A90"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Total Sales*</w:t>
            </w:r>
          </w:p>
        </w:tc>
        <w:tc>
          <w:tcPr>
            <w:tcW w:w="903" w:type="dxa"/>
            <w:tcBorders>
              <w:top w:val="nil"/>
              <w:left w:val="nil"/>
              <w:bottom w:val="single" w:sz="4" w:space="0" w:color="auto"/>
              <w:right w:val="single" w:sz="4" w:space="0" w:color="auto"/>
            </w:tcBorders>
            <w:noWrap/>
            <w:vAlign w:val="center"/>
            <w:hideMark/>
          </w:tcPr>
          <w:p w14:paraId="68DB9ECC"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4C67D4F2"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10322</w:t>
            </w:r>
          </w:p>
        </w:tc>
      </w:tr>
      <w:tr w:rsidR="00443C9B" w:rsidRPr="00443C9B" w14:paraId="6F08FF27"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17A6574C"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4=2X1</w:t>
            </w:r>
          </w:p>
        </w:tc>
        <w:tc>
          <w:tcPr>
            <w:tcW w:w="5075" w:type="dxa"/>
            <w:tcBorders>
              <w:top w:val="nil"/>
              <w:left w:val="nil"/>
              <w:bottom w:val="single" w:sz="4" w:space="0" w:color="auto"/>
              <w:right w:val="single" w:sz="4" w:space="0" w:color="auto"/>
            </w:tcBorders>
            <w:noWrap/>
            <w:vAlign w:val="center"/>
            <w:hideMark/>
          </w:tcPr>
          <w:p w14:paraId="636FB574"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Total Losses</w:t>
            </w:r>
          </w:p>
        </w:tc>
        <w:tc>
          <w:tcPr>
            <w:tcW w:w="903" w:type="dxa"/>
            <w:tcBorders>
              <w:top w:val="nil"/>
              <w:left w:val="nil"/>
              <w:bottom w:val="single" w:sz="4" w:space="0" w:color="auto"/>
              <w:right w:val="single" w:sz="4" w:space="0" w:color="auto"/>
            </w:tcBorders>
            <w:noWrap/>
            <w:vAlign w:val="center"/>
            <w:hideMark/>
          </w:tcPr>
          <w:p w14:paraId="4F9121D8"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0DCC3B3B"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1630</w:t>
            </w:r>
          </w:p>
        </w:tc>
      </w:tr>
      <w:tr w:rsidR="00443C9B" w:rsidRPr="00443C9B" w14:paraId="1186B92A"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47316843"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5</w:t>
            </w:r>
          </w:p>
        </w:tc>
        <w:tc>
          <w:tcPr>
            <w:tcW w:w="5075" w:type="dxa"/>
            <w:tcBorders>
              <w:top w:val="nil"/>
              <w:left w:val="nil"/>
              <w:bottom w:val="single" w:sz="4" w:space="0" w:color="auto"/>
              <w:right w:val="single" w:sz="4" w:space="0" w:color="auto"/>
            </w:tcBorders>
            <w:noWrap/>
            <w:vAlign w:val="center"/>
            <w:hideMark/>
          </w:tcPr>
          <w:p w14:paraId="4D79BE29"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EHT Sales*</w:t>
            </w:r>
          </w:p>
        </w:tc>
        <w:tc>
          <w:tcPr>
            <w:tcW w:w="903" w:type="dxa"/>
            <w:tcBorders>
              <w:top w:val="nil"/>
              <w:left w:val="nil"/>
              <w:bottom w:val="single" w:sz="4" w:space="0" w:color="auto"/>
              <w:right w:val="single" w:sz="4" w:space="0" w:color="auto"/>
            </w:tcBorders>
            <w:noWrap/>
            <w:vAlign w:val="center"/>
            <w:hideMark/>
          </w:tcPr>
          <w:p w14:paraId="52811358"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3CCFF8C0"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3989</w:t>
            </w:r>
          </w:p>
        </w:tc>
      </w:tr>
      <w:tr w:rsidR="00443C9B" w:rsidRPr="00443C9B" w14:paraId="7279209D"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787A4ACF"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6=1-5</w:t>
            </w:r>
          </w:p>
        </w:tc>
        <w:tc>
          <w:tcPr>
            <w:tcW w:w="5075" w:type="dxa"/>
            <w:tcBorders>
              <w:top w:val="nil"/>
              <w:left w:val="nil"/>
              <w:bottom w:val="single" w:sz="4" w:space="0" w:color="auto"/>
              <w:right w:val="single" w:sz="4" w:space="0" w:color="auto"/>
            </w:tcBorders>
            <w:noWrap/>
            <w:vAlign w:val="center"/>
            <w:hideMark/>
          </w:tcPr>
          <w:p w14:paraId="0694DD24"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HT &amp; LT Input</w:t>
            </w:r>
          </w:p>
        </w:tc>
        <w:tc>
          <w:tcPr>
            <w:tcW w:w="903" w:type="dxa"/>
            <w:tcBorders>
              <w:top w:val="nil"/>
              <w:left w:val="nil"/>
              <w:bottom w:val="single" w:sz="4" w:space="0" w:color="auto"/>
              <w:right w:val="single" w:sz="4" w:space="0" w:color="auto"/>
            </w:tcBorders>
            <w:noWrap/>
            <w:vAlign w:val="center"/>
            <w:hideMark/>
          </w:tcPr>
          <w:p w14:paraId="17F45DF6"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14C55C78"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7964</w:t>
            </w:r>
          </w:p>
        </w:tc>
      </w:tr>
      <w:tr w:rsidR="00443C9B" w:rsidRPr="00443C9B" w14:paraId="2D2693BF" w14:textId="77777777" w:rsidTr="00DE454E">
        <w:trPr>
          <w:trHeight w:val="520"/>
          <w:jc w:val="right"/>
        </w:trPr>
        <w:tc>
          <w:tcPr>
            <w:tcW w:w="1417" w:type="dxa"/>
            <w:tcBorders>
              <w:top w:val="nil"/>
              <w:left w:val="single" w:sz="4" w:space="0" w:color="auto"/>
              <w:bottom w:val="single" w:sz="4" w:space="0" w:color="auto"/>
              <w:right w:val="single" w:sz="4" w:space="0" w:color="auto"/>
            </w:tcBorders>
            <w:noWrap/>
            <w:vAlign w:val="center"/>
            <w:hideMark/>
          </w:tcPr>
          <w:p w14:paraId="2BE509A4"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7</w:t>
            </w:r>
          </w:p>
        </w:tc>
        <w:tc>
          <w:tcPr>
            <w:tcW w:w="5075" w:type="dxa"/>
            <w:tcBorders>
              <w:top w:val="nil"/>
              <w:left w:val="nil"/>
              <w:bottom w:val="single" w:sz="4" w:space="0" w:color="auto"/>
              <w:right w:val="single" w:sz="4" w:space="0" w:color="auto"/>
            </w:tcBorders>
            <w:vAlign w:val="center"/>
            <w:hideMark/>
          </w:tcPr>
          <w:p w14:paraId="0CAFB3EB"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HT Losses (as considered at para 2 of Annexure -C of RST order dated 24.03.2025)</w:t>
            </w:r>
          </w:p>
        </w:tc>
        <w:tc>
          <w:tcPr>
            <w:tcW w:w="903" w:type="dxa"/>
            <w:tcBorders>
              <w:top w:val="nil"/>
              <w:left w:val="nil"/>
              <w:bottom w:val="single" w:sz="4" w:space="0" w:color="auto"/>
              <w:right w:val="single" w:sz="4" w:space="0" w:color="auto"/>
            </w:tcBorders>
            <w:noWrap/>
            <w:vAlign w:val="center"/>
            <w:hideMark/>
          </w:tcPr>
          <w:p w14:paraId="4B9601F5"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w:t>
            </w:r>
          </w:p>
        </w:tc>
        <w:tc>
          <w:tcPr>
            <w:tcW w:w="1127" w:type="dxa"/>
            <w:tcBorders>
              <w:top w:val="nil"/>
              <w:left w:val="nil"/>
              <w:bottom w:val="single" w:sz="4" w:space="0" w:color="auto"/>
              <w:right w:val="single" w:sz="4" w:space="0" w:color="auto"/>
            </w:tcBorders>
            <w:noWrap/>
            <w:vAlign w:val="center"/>
            <w:hideMark/>
          </w:tcPr>
          <w:p w14:paraId="54D5E7B3"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8%</w:t>
            </w:r>
          </w:p>
        </w:tc>
      </w:tr>
      <w:tr w:rsidR="00443C9B" w:rsidRPr="00443C9B" w14:paraId="0A8935AD"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3BFED86F"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8=7X6</w:t>
            </w:r>
          </w:p>
        </w:tc>
        <w:tc>
          <w:tcPr>
            <w:tcW w:w="5075" w:type="dxa"/>
            <w:tcBorders>
              <w:top w:val="nil"/>
              <w:left w:val="nil"/>
              <w:bottom w:val="single" w:sz="4" w:space="0" w:color="auto"/>
              <w:right w:val="single" w:sz="4" w:space="0" w:color="auto"/>
            </w:tcBorders>
            <w:noWrap/>
            <w:vAlign w:val="center"/>
            <w:hideMark/>
          </w:tcPr>
          <w:p w14:paraId="3AC1F031"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Loss on HT Network</w:t>
            </w:r>
          </w:p>
        </w:tc>
        <w:tc>
          <w:tcPr>
            <w:tcW w:w="903" w:type="dxa"/>
            <w:tcBorders>
              <w:top w:val="nil"/>
              <w:left w:val="nil"/>
              <w:bottom w:val="single" w:sz="4" w:space="0" w:color="auto"/>
              <w:right w:val="single" w:sz="4" w:space="0" w:color="auto"/>
            </w:tcBorders>
            <w:noWrap/>
            <w:vAlign w:val="center"/>
            <w:hideMark/>
          </w:tcPr>
          <w:p w14:paraId="3D2867C9"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522257A5"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637</w:t>
            </w:r>
          </w:p>
        </w:tc>
      </w:tr>
      <w:tr w:rsidR="00443C9B" w:rsidRPr="00443C9B" w14:paraId="75672F8D"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4CDCF46E"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9</w:t>
            </w:r>
          </w:p>
        </w:tc>
        <w:tc>
          <w:tcPr>
            <w:tcW w:w="5075" w:type="dxa"/>
            <w:tcBorders>
              <w:top w:val="nil"/>
              <w:left w:val="nil"/>
              <w:bottom w:val="single" w:sz="4" w:space="0" w:color="auto"/>
              <w:right w:val="single" w:sz="4" w:space="0" w:color="auto"/>
            </w:tcBorders>
            <w:noWrap/>
            <w:vAlign w:val="center"/>
            <w:hideMark/>
          </w:tcPr>
          <w:p w14:paraId="5399FDD8"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HT Sales*</w:t>
            </w:r>
          </w:p>
        </w:tc>
        <w:tc>
          <w:tcPr>
            <w:tcW w:w="903" w:type="dxa"/>
            <w:tcBorders>
              <w:top w:val="nil"/>
              <w:left w:val="nil"/>
              <w:bottom w:val="single" w:sz="4" w:space="0" w:color="auto"/>
              <w:right w:val="single" w:sz="4" w:space="0" w:color="auto"/>
            </w:tcBorders>
            <w:noWrap/>
            <w:vAlign w:val="center"/>
            <w:hideMark/>
          </w:tcPr>
          <w:p w14:paraId="55AC3829"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4AF35DED"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2610</w:t>
            </w:r>
          </w:p>
        </w:tc>
      </w:tr>
      <w:tr w:rsidR="00443C9B" w:rsidRPr="00443C9B" w14:paraId="3ECF9FA3"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129827FD"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10=6-8-9</w:t>
            </w:r>
          </w:p>
        </w:tc>
        <w:tc>
          <w:tcPr>
            <w:tcW w:w="5075" w:type="dxa"/>
            <w:tcBorders>
              <w:top w:val="nil"/>
              <w:left w:val="nil"/>
              <w:bottom w:val="single" w:sz="4" w:space="0" w:color="auto"/>
              <w:right w:val="single" w:sz="4" w:space="0" w:color="auto"/>
            </w:tcBorders>
            <w:noWrap/>
            <w:vAlign w:val="center"/>
            <w:hideMark/>
          </w:tcPr>
          <w:p w14:paraId="7242E0CF"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LT input</w:t>
            </w:r>
          </w:p>
        </w:tc>
        <w:tc>
          <w:tcPr>
            <w:tcW w:w="903" w:type="dxa"/>
            <w:tcBorders>
              <w:top w:val="nil"/>
              <w:left w:val="nil"/>
              <w:bottom w:val="single" w:sz="4" w:space="0" w:color="auto"/>
              <w:right w:val="single" w:sz="4" w:space="0" w:color="auto"/>
            </w:tcBorders>
            <w:noWrap/>
            <w:vAlign w:val="center"/>
            <w:hideMark/>
          </w:tcPr>
          <w:p w14:paraId="0AB7657B"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38BCD1F6"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4716</w:t>
            </w:r>
          </w:p>
        </w:tc>
      </w:tr>
      <w:tr w:rsidR="00443C9B" w:rsidRPr="00443C9B" w14:paraId="50D5F4C7"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3E2BFED1"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11</w:t>
            </w:r>
          </w:p>
        </w:tc>
        <w:tc>
          <w:tcPr>
            <w:tcW w:w="5075" w:type="dxa"/>
            <w:tcBorders>
              <w:top w:val="nil"/>
              <w:left w:val="nil"/>
              <w:bottom w:val="single" w:sz="4" w:space="0" w:color="auto"/>
              <w:right w:val="single" w:sz="4" w:space="0" w:color="auto"/>
            </w:tcBorders>
            <w:noWrap/>
            <w:vAlign w:val="center"/>
            <w:hideMark/>
          </w:tcPr>
          <w:p w14:paraId="38DB6028"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LT Sales*</w:t>
            </w:r>
          </w:p>
        </w:tc>
        <w:tc>
          <w:tcPr>
            <w:tcW w:w="903" w:type="dxa"/>
            <w:tcBorders>
              <w:top w:val="nil"/>
              <w:left w:val="nil"/>
              <w:bottom w:val="single" w:sz="4" w:space="0" w:color="auto"/>
              <w:right w:val="single" w:sz="4" w:space="0" w:color="auto"/>
            </w:tcBorders>
            <w:noWrap/>
            <w:vAlign w:val="center"/>
            <w:hideMark/>
          </w:tcPr>
          <w:p w14:paraId="5304BC44"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MUs</w:t>
            </w:r>
          </w:p>
        </w:tc>
        <w:tc>
          <w:tcPr>
            <w:tcW w:w="1127" w:type="dxa"/>
            <w:tcBorders>
              <w:top w:val="nil"/>
              <w:left w:val="nil"/>
              <w:bottom w:val="single" w:sz="4" w:space="0" w:color="auto"/>
              <w:right w:val="single" w:sz="4" w:space="0" w:color="auto"/>
            </w:tcBorders>
            <w:noWrap/>
            <w:vAlign w:val="center"/>
            <w:hideMark/>
          </w:tcPr>
          <w:p w14:paraId="77B75F75"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3723</w:t>
            </w:r>
          </w:p>
        </w:tc>
      </w:tr>
      <w:tr w:rsidR="00443C9B" w:rsidRPr="00443C9B" w14:paraId="4A889592"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3B1C5813"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12=1-(11/10)</w:t>
            </w:r>
          </w:p>
        </w:tc>
        <w:tc>
          <w:tcPr>
            <w:tcW w:w="5075" w:type="dxa"/>
            <w:tcBorders>
              <w:top w:val="nil"/>
              <w:left w:val="nil"/>
              <w:bottom w:val="single" w:sz="4" w:space="0" w:color="auto"/>
              <w:right w:val="single" w:sz="4" w:space="0" w:color="auto"/>
            </w:tcBorders>
            <w:noWrap/>
            <w:vAlign w:val="center"/>
            <w:hideMark/>
          </w:tcPr>
          <w:p w14:paraId="496BAC51"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Loss on LT Network</w:t>
            </w:r>
          </w:p>
        </w:tc>
        <w:tc>
          <w:tcPr>
            <w:tcW w:w="903" w:type="dxa"/>
            <w:tcBorders>
              <w:top w:val="nil"/>
              <w:left w:val="nil"/>
              <w:bottom w:val="single" w:sz="4" w:space="0" w:color="auto"/>
              <w:right w:val="single" w:sz="4" w:space="0" w:color="auto"/>
            </w:tcBorders>
            <w:noWrap/>
            <w:vAlign w:val="center"/>
            <w:hideMark/>
          </w:tcPr>
          <w:p w14:paraId="42BE69FB"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w:t>
            </w:r>
          </w:p>
        </w:tc>
        <w:tc>
          <w:tcPr>
            <w:tcW w:w="1127" w:type="dxa"/>
            <w:tcBorders>
              <w:top w:val="nil"/>
              <w:left w:val="nil"/>
              <w:bottom w:val="single" w:sz="4" w:space="0" w:color="auto"/>
              <w:right w:val="single" w:sz="4" w:space="0" w:color="auto"/>
            </w:tcBorders>
            <w:noWrap/>
            <w:vAlign w:val="center"/>
            <w:hideMark/>
          </w:tcPr>
          <w:p w14:paraId="1DF491C3"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21%</w:t>
            </w:r>
          </w:p>
        </w:tc>
      </w:tr>
      <w:tr w:rsidR="00443C9B" w:rsidRPr="00443C9B" w14:paraId="3EC4B990" w14:textId="77777777" w:rsidTr="00DE454E">
        <w:trPr>
          <w:trHeight w:val="290"/>
          <w:jc w:val="right"/>
        </w:trPr>
        <w:tc>
          <w:tcPr>
            <w:tcW w:w="1417" w:type="dxa"/>
            <w:tcBorders>
              <w:top w:val="nil"/>
              <w:left w:val="single" w:sz="4" w:space="0" w:color="auto"/>
              <w:bottom w:val="single" w:sz="4" w:space="0" w:color="auto"/>
              <w:right w:val="single" w:sz="4" w:space="0" w:color="auto"/>
            </w:tcBorders>
            <w:noWrap/>
            <w:vAlign w:val="center"/>
            <w:hideMark/>
          </w:tcPr>
          <w:p w14:paraId="74DED090"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13=12+7</w:t>
            </w:r>
          </w:p>
        </w:tc>
        <w:tc>
          <w:tcPr>
            <w:tcW w:w="5075" w:type="dxa"/>
            <w:tcBorders>
              <w:top w:val="nil"/>
              <w:left w:val="nil"/>
              <w:bottom w:val="single" w:sz="4" w:space="0" w:color="auto"/>
              <w:right w:val="single" w:sz="4" w:space="0" w:color="auto"/>
            </w:tcBorders>
            <w:noWrap/>
            <w:vAlign w:val="center"/>
            <w:hideMark/>
          </w:tcPr>
          <w:p w14:paraId="22F40BF1" w14:textId="77777777" w:rsidR="00443C9B" w:rsidRPr="00443C9B" w:rsidRDefault="00443C9B" w:rsidP="00443C9B">
            <w:pPr>
              <w:spacing w:after="0" w:line="240" w:lineRule="auto"/>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Wheeling Loss Applicable to LT OA Consumers</w:t>
            </w:r>
          </w:p>
        </w:tc>
        <w:tc>
          <w:tcPr>
            <w:tcW w:w="903" w:type="dxa"/>
            <w:tcBorders>
              <w:top w:val="nil"/>
              <w:left w:val="nil"/>
              <w:bottom w:val="single" w:sz="4" w:space="0" w:color="auto"/>
              <w:right w:val="single" w:sz="4" w:space="0" w:color="auto"/>
            </w:tcBorders>
            <w:noWrap/>
            <w:vAlign w:val="center"/>
            <w:hideMark/>
          </w:tcPr>
          <w:p w14:paraId="077AD81F" w14:textId="77777777" w:rsidR="00443C9B" w:rsidRPr="00443C9B" w:rsidRDefault="00443C9B" w:rsidP="00443C9B">
            <w:pPr>
              <w:spacing w:after="0" w:line="240" w:lineRule="auto"/>
              <w:jc w:val="center"/>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w:t>
            </w:r>
          </w:p>
        </w:tc>
        <w:tc>
          <w:tcPr>
            <w:tcW w:w="1127" w:type="dxa"/>
            <w:tcBorders>
              <w:top w:val="nil"/>
              <w:left w:val="nil"/>
              <w:bottom w:val="single" w:sz="4" w:space="0" w:color="auto"/>
              <w:right w:val="single" w:sz="4" w:space="0" w:color="auto"/>
            </w:tcBorders>
            <w:noWrap/>
            <w:vAlign w:val="center"/>
            <w:hideMark/>
          </w:tcPr>
          <w:p w14:paraId="0EC1E040" w14:textId="77777777" w:rsidR="00443C9B" w:rsidRPr="00443C9B" w:rsidRDefault="00443C9B" w:rsidP="00443C9B">
            <w:pPr>
              <w:spacing w:after="0" w:line="240" w:lineRule="auto"/>
              <w:jc w:val="right"/>
              <w:rPr>
                <w:rFonts w:ascii="Book Antiqua" w:eastAsia="Times New Roman" w:hAnsi="Book Antiqua" w:cs="Calibri"/>
                <w:color w:val="000000"/>
                <w:sz w:val="20"/>
                <w:szCs w:val="20"/>
                <w:lang w:eastAsia="en-IN"/>
              </w:rPr>
            </w:pPr>
            <w:r w:rsidRPr="00443C9B">
              <w:rPr>
                <w:rFonts w:ascii="Book Antiqua" w:eastAsia="Times New Roman" w:hAnsi="Book Antiqua" w:cs="Calibri"/>
                <w:color w:val="000000"/>
                <w:sz w:val="20"/>
                <w:szCs w:val="20"/>
                <w:lang w:eastAsia="en-IN"/>
              </w:rPr>
              <w:t>29%</w:t>
            </w:r>
          </w:p>
        </w:tc>
      </w:tr>
      <w:tr w:rsidR="00443C9B" w:rsidRPr="00C27785" w14:paraId="2A525AAD" w14:textId="77777777" w:rsidTr="00DE454E">
        <w:trPr>
          <w:trHeight w:val="290"/>
          <w:jc w:val="right"/>
        </w:trPr>
        <w:tc>
          <w:tcPr>
            <w:tcW w:w="8522" w:type="dxa"/>
            <w:gridSpan w:val="4"/>
            <w:tcBorders>
              <w:top w:val="nil"/>
              <w:left w:val="single" w:sz="4" w:space="0" w:color="auto"/>
              <w:bottom w:val="single" w:sz="4" w:space="0" w:color="auto"/>
              <w:right w:val="single" w:sz="4" w:space="0" w:color="auto"/>
            </w:tcBorders>
            <w:noWrap/>
            <w:vAlign w:val="center"/>
            <w:hideMark/>
          </w:tcPr>
          <w:p w14:paraId="443B199C" w14:textId="0AB4A304" w:rsidR="00443C9B" w:rsidRPr="00443C9B" w:rsidRDefault="00443C9B" w:rsidP="00443C9B">
            <w:pPr>
              <w:spacing w:after="0" w:line="240" w:lineRule="auto"/>
              <w:rPr>
                <w:rFonts w:ascii="Book Antiqua" w:eastAsia="Times New Roman" w:hAnsi="Book Antiqua" w:cs="Calibri"/>
                <w:i/>
                <w:iCs/>
                <w:color w:val="000000"/>
                <w:sz w:val="20"/>
                <w:szCs w:val="20"/>
                <w:lang w:eastAsia="en-IN"/>
              </w:rPr>
            </w:pPr>
            <w:r w:rsidRPr="00443C9B">
              <w:rPr>
                <w:rFonts w:ascii="Book Antiqua" w:eastAsia="Times New Roman" w:hAnsi="Book Antiqua" w:cs="Calibri"/>
                <w:i/>
                <w:iCs/>
                <w:color w:val="000000"/>
                <w:sz w:val="20"/>
                <w:szCs w:val="20"/>
                <w:lang w:eastAsia="en-IN"/>
              </w:rPr>
              <w:t>* Based on Parameter as proposed in ARR 2026-27</w:t>
            </w:r>
          </w:p>
        </w:tc>
      </w:tr>
    </w:tbl>
    <w:p w14:paraId="1D9E8231" w14:textId="61429CDF" w:rsidR="003D0BCA" w:rsidRPr="003D0BCA" w:rsidRDefault="003D0BCA" w:rsidP="003D0BCA">
      <w:pPr>
        <w:pStyle w:val="ListParagraph"/>
        <w:numPr>
          <w:ilvl w:val="0"/>
          <w:numId w:val="10"/>
        </w:numPr>
        <w:autoSpaceDE w:val="0"/>
        <w:autoSpaceDN w:val="0"/>
        <w:adjustRightInd w:val="0"/>
        <w:spacing w:beforeLines="100" w:before="240" w:afterLines="100" w:after="240" w:line="360" w:lineRule="auto"/>
        <w:ind w:right="414"/>
        <w:contextualSpacing w:val="0"/>
        <w:jc w:val="both"/>
        <w:rPr>
          <w:rFonts w:ascii="Book Antiqua" w:eastAsia="Calibri" w:hAnsi="Book Antiqua" w:cs="Arial"/>
          <w:b/>
          <w:bCs/>
        </w:rPr>
      </w:pPr>
      <w:r w:rsidRPr="003D0BCA">
        <w:rPr>
          <w:rFonts w:ascii="Book Antiqua" w:eastAsia="Calibri" w:hAnsi="Book Antiqua" w:cs="Arial"/>
          <w:b/>
          <w:bCs/>
        </w:rPr>
        <w:t>Wheeling Charges</w:t>
      </w:r>
    </w:p>
    <w:p w14:paraId="52C98941" w14:textId="792E2121" w:rsidR="006B75B9" w:rsidRPr="00C711D9" w:rsidRDefault="00DF4EEB" w:rsidP="00E87BD7">
      <w:pPr>
        <w:pStyle w:val="ListParagraph"/>
        <w:numPr>
          <w:ilvl w:val="0"/>
          <w:numId w:val="1"/>
        </w:numPr>
        <w:autoSpaceDE w:val="0"/>
        <w:autoSpaceDN w:val="0"/>
        <w:adjustRightInd w:val="0"/>
        <w:spacing w:beforeLines="100" w:before="240" w:after="0" w:line="360" w:lineRule="auto"/>
        <w:ind w:left="1559" w:right="414" w:hanging="357"/>
        <w:contextualSpacing w:val="0"/>
        <w:jc w:val="both"/>
        <w:rPr>
          <w:rFonts w:ascii="Book Antiqua" w:hAnsi="Book Antiqua" w:cstheme="minorHAnsi"/>
          <w:b/>
          <w:bCs/>
        </w:rPr>
      </w:pPr>
      <w:r w:rsidRPr="00F7093B">
        <w:rPr>
          <w:rFonts w:ascii="Book Antiqua" w:eastAsia="Calibri" w:hAnsi="Book Antiqua" w:cs="Arial"/>
        </w:rPr>
        <w:t xml:space="preserve">That, </w:t>
      </w:r>
      <w:r w:rsidR="00C711D9" w:rsidRPr="00C711D9">
        <w:rPr>
          <w:rFonts w:ascii="Book Antiqua" w:eastAsia="Calibri" w:hAnsi="Book Antiqua" w:cs="Arial"/>
        </w:rPr>
        <w:t>Wheeling charges payable to distribution licensee, by long-term or medium- term open access customer for usage of its system shall be as determined as under:</w:t>
      </w:r>
    </w:p>
    <w:p w14:paraId="4DACACED" w14:textId="77777777" w:rsidR="00E974F8" w:rsidRPr="00E974F8" w:rsidRDefault="00E974F8" w:rsidP="00E974F8">
      <w:pPr>
        <w:pStyle w:val="ListParagraph"/>
        <w:autoSpaceDE w:val="0"/>
        <w:autoSpaceDN w:val="0"/>
        <w:adjustRightInd w:val="0"/>
        <w:spacing w:beforeLines="100" w:before="240" w:after="0" w:line="360" w:lineRule="auto"/>
        <w:ind w:left="2268" w:right="414"/>
        <w:jc w:val="both"/>
        <w:rPr>
          <w:rFonts w:ascii="Book Antiqua" w:hAnsi="Book Antiqua" w:cstheme="minorHAnsi"/>
        </w:rPr>
      </w:pPr>
      <w:r w:rsidRPr="00E974F8">
        <w:rPr>
          <w:rFonts w:ascii="Book Antiqua" w:hAnsi="Book Antiqua" w:cstheme="minorHAnsi"/>
        </w:rPr>
        <w:t>Wheeling Charges = (Wheeling Cost) /(ALSDX365) (in INR/MW-day)</w:t>
      </w:r>
    </w:p>
    <w:p w14:paraId="7472EED7" w14:textId="77777777" w:rsidR="00E974F8" w:rsidRPr="00E974F8" w:rsidRDefault="00E974F8" w:rsidP="00E974F8">
      <w:pPr>
        <w:pStyle w:val="ListParagraph"/>
        <w:autoSpaceDE w:val="0"/>
        <w:autoSpaceDN w:val="0"/>
        <w:adjustRightInd w:val="0"/>
        <w:spacing w:beforeLines="100" w:before="240" w:after="0" w:line="360" w:lineRule="auto"/>
        <w:ind w:left="2268" w:right="414"/>
        <w:jc w:val="both"/>
        <w:rPr>
          <w:rFonts w:ascii="Book Antiqua" w:hAnsi="Book Antiqua" w:cstheme="minorHAnsi"/>
        </w:rPr>
      </w:pPr>
      <w:r w:rsidRPr="00E974F8">
        <w:rPr>
          <w:rFonts w:ascii="Book Antiqua" w:hAnsi="Book Antiqua" w:cstheme="minorHAnsi"/>
        </w:rPr>
        <w:t>Where,</w:t>
      </w:r>
    </w:p>
    <w:p w14:paraId="784199C6" w14:textId="77777777" w:rsidR="00E974F8" w:rsidRPr="00E974F8" w:rsidRDefault="00E974F8" w:rsidP="00E974F8">
      <w:pPr>
        <w:pStyle w:val="ListParagraph"/>
        <w:autoSpaceDE w:val="0"/>
        <w:autoSpaceDN w:val="0"/>
        <w:adjustRightInd w:val="0"/>
        <w:spacing w:beforeLines="100" w:before="240" w:after="0" w:line="360" w:lineRule="auto"/>
        <w:ind w:left="2268" w:right="414"/>
        <w:jc w:val="both"/>
        <w:rPr>
          <w:rFonts w:ascii="Book Antiqua" w:hAnsi="Book Antiqua" w:cstheme="minorHAnsi"/>
        </w:rPr>
      </w:pPr>
      <w:r w:rsidRPr="00E974F8">
        <w:rPr>
          <w:rFonts w:ascii="Book Antiqua" w:hAnsi="Book Antiqua" w:cstheme="minorHAnsi"/>
        </w:rPr>
        <w:t>Wheeling Cost= Cost towards wheeling business as approved in the Tariff Order of the distribution licensee in the concerned year.</w:t>
      </w:r>
    </w:p>
    <w:p w14:paraId="07B541E3" w14:textId="77777777" w:rsidR="00E974F8" w:rsidRPr="00E974F8" w:rsidRDefault="00E974F8" w:rsidP="00E974F8">
      <w:pPr>
        <w:pStyle w:val="ListParagraph"/>
        <w:autoSpaceDE w:val="0"/>
        <w:autoSpaceDN w:val="0"/>
        <w:adjustRightInd w:val="0"/>
        <w:spacing w:beforeLines="100" w:before="240" w:after="0" w:line="360" w:lineRule="auto"/>
        <w:ind w:left="2268" w:right="414"/>
        <w:jc w:val="both"/>
        <w:rPr>
          <w:rFonts w:ascii="Book Antiqua" w:hAnsi="Book Antiqua" w:cstheme="minorHAnsi"/>
        </w:rPr>
      </w:pPr>
      <w:r w:rsidRPr="00E974F8">
        <w:rPr>
          <w:rFonts w:ascii="Book Antiqua" w:hAnsi="Book Antiqua" w:cstheme="minorHAnsi"/>
        </w:rPr>
        <w:t>ALSD= Total Average load projected to be served by the concerned distribution system in the concerned year.</w:t>
      </w:r>
    </w:p>
    <w:p w14:paraId="455BCD59" w14:textId="77777777" w:rsidR="00E974F8" w:rsidRPr="00E974F8" w:rsidRDefault="00E974F8" w:rsidP="00E974F8">
      <w:pPr>
        <w:pStyle w:val="ListParagraph"/>
        <w:autoSpaceDE w:val="0"/>
        <w:autoSpaceDN w:val="0"/>
        <w:adjustRightInd w:val="0"/>
        <w:spacing w:beforeLines="100" w:before="240" w:after="0" w:line="360" w:lineRule="auto"/>
        <w:ind w:left="1559" w:right="414"/>
        <w:contextualSpacing w:val="0"/>
        <w:jc w:val="both"/>
        <w:rPr>
          <w:rFonts w:ascii="Book Antiqua" w:hAnsi="Book Antiqua" w:cstheme="minorHAnsi"/>
        </w:rPr>
      </w:pPr>
      <w:r w:rsidRPr="00E974F8">
        <w:rPr>
          <w:rFonts w:ascii="Book Antiqua" w:hAnsi="Book Antiqua" w:cstheme="minorHAnsi"/>
        </w:rPr>
        <w:t>Provided that Wheeling charges for short-term open access consumers shall be payable as determined by the Commission for the relevant financial year on the basis of scheduled load/ energy in the Tariff Order. For Open Access for a part of a day, the wheeling charges shall be payable on pro-rata basis.</w:t>
      </w:r>
    </w:p>
    <w:p w14:paraId="6C288769" w14:textId="6DE19D2E" w:rsidR="00C711D9" w:rsidRDefault="00E974F8" w:rsidP="00E974F8">
      <w:pPr>
        <w:pStyle w:val="ListParagraph"/>
        <w:autoSpaceDE w:val="0"/>
        <w:autoSpaceDN w:val="0"/>
        <w:adjustRightInd w:val="0"/>
        <w:spacing w:beforeLines="100" w:before="240" w:after="0" w:line="360" w:lineRule="auto"/>
        <w:ind w:left="1559" w:right="414"/>
        <w:contextualSpacing w:val="0"/>
        <w:jc w:val="both"/>
        <w:rPr>
          <w:rFonts w:ascii="Book Antiqua" w:hAnsi="Book Antiqua" w:cstheme="minorHAnsi"/>
        </w:rPr>
      </w:pPr>
      <w:r w:rsidRPr="00E974F8">
        <w:rPr>
          <w:rFonts w:ascii="Book Antiqua" w:hAnsi="Book Antiqua" w:cstheme="minorHAnsi"/>
        </w:rPr>
        <w:t>Provided further that where a dedicated distribution system used for open access has been constructed for exclusive use of an open access customer, the wheeling charges for such dedicated system shall be worked out by distribution licensee for their respective systems and got approved by the Commission and shall be borne entirely by such open access customer till such time the surplus capacity is allotted and used for by other persons or purposes;</w:t>
      </w:r>
    </w:p>
    <w:p w14:paraId="4914C739" w14:textId="69073AC2" w:rsidR="001946DE" w:rsidRDefault="001946DE" w:rsidP="00E974F8">
      <w:pPr>
        <w:pStyle w:val="ListParagraph"/>
        <w:autoSpaceDE w:val="0"/>
        <w:autoSpaceDN w:val="0"/>
        <w:adjustRightInd w:val="0"/>
        <w:spacing w:beforeLines="100" w:before="240" w:after="0" w:line="360" w:lineRule="auto"/>
        <w:ind w:left="1559" w:right="414"/>
        <w:contextualSpacing w:val="0"/>
        <w:jc w:val="both"/>
        <w:rPr>
          <w:rFonts w:ascii="Book Antiqua" w:hAnsi="Book Antiqua" w:cstheme="minorHAnsi"/>
        </w:rPr>
      </w:pPr>
      <w:r w:rsidRPr="001946DE">
        <w:rPr>
          <w:rFonts w:ascii="Book Antiqua" w:hAnsi="Book Antiqua" w:cstheme="minorHAnsi"/>
        </w:rPr>
        <w:lastRenderedPageBreak/>
        <w:t xml:space="preserve">Accordingly, wheeling charges for FY 26-27 as calculated by TPWODL is </w:t>
      </w:r>
      <w:r w:rsidR="004F3AF5">
        <w:rPr>
          <w:rFonts w:ascii="Book Antiqua" w:hAnsi="Book Antiqua" w:cstheme="minorHAnsi"/>
        </w:rPr>
        <w:t>given below:</w:t>
      </w:r>
    </w:p>
    <w:p w14:paraId="2AAC2AB0" w14:textId="77777777" w:rsidR="006C474D" w:rsidRPr="006C474D" w:rsidRDefault="006C474D" w:rsidP="006C474D">
      <w:pPr>
        <w:pStyle w:val="ListParagraph"/>
        <w:autoSpaceDE w:val="0"/>
        <w:autoSpaceDN w:val="0"/>
        <w:adjustRightInd w:val="0"/>
        <w:spacing w:beforeLines="100" w:before="240" w:after="0" w:line="360" w:lineRule="auto"/>
        <w:ind w:left="1559" w:right="414"/>
        <w:contextualSpacing w:val="0"/>
        <w:jc w:val="both"/>
        <w:rPr>
          <w:rFonts w:ascii="Book Antiqua" w:hAnsi="Book Antiqua" w:cstheme="minorHAnsi"/>
          <w:b/>
          <w:bCs/>
        </w:rPr>
      </w:pPr>
      <w:r w:rsidRPr="006C474D">
        <w:rPr>
          <w:rFonts w:ascii="Book Antiqua" w:hAnsi="Book Antiqua" w:cstheme="minorHAnsi"/>
          <w:b/>
          <w:bCs/>
        </w:rPr>
        <w:t>Table showing wheeling charge :-</w:t>
      </w:r>
    </w:p>
    <w:p w14:paraId="29EE7DE0" w14:textId="77777777" w:rsidR="006C474D" w:rsidRPr="006C474D" w:rsidRDefault="006C474D" w:rsidP="006C474D">
      <w:pPr>
        <w:spacing w:before="3"/>
        <w:rPr>
          <w:rFonts w:ascii="Book Antiqua" w:hAnsi="Book Antiqua"/>
          <w:b/>
          <w:szCs w:val="24"/>
        </w:rPr>
      </w:pPr>
    </w:p>
    <w:tbl>
      <w:tblPr>
        <w:tblW w:w="62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3"/>
        <w:gridCol w:w="2409"/>
      </w:tblGrid>
      <w:tr w:rsidR="006C474D" w:rsidRPr="00F46091" w14:paraId="0DCBFB7F" w14:textId="77777777" w:rsidTr="006C474D">
        <w:trPr>
          <w:trHeight w:val="279"/>
          <w:jc w:val="center"/>
        </w:trPr>
        <w:tc>
          <w:tcPr>
            <w:tcW w:w="3823" w:type="dxa"/>
          </w:tcPr>
          <w:p w14:paraId="3D5FCF58" w14:textId="77777777" w:rsidR="006C474D" w:rsidRPr="00F46091" w:rsidRDefault="006C474D" w:rsidP="00F46091">
            <w:pPr>
              <w:spacing w:before="120" w:after="120" w:line="240" w:lineRule="auto"/>
              <w:rPr>
                <w:rFonts w:ascii="Book Antiqua" w:hAnsi="Book Antiqua"/>
                <w:b/>
                <w:sz w:val="20"/>
                <w:szCs w:val="18"/>
              </w:rPr>
            </w:pPr>
            <w:r w:rsidRPr="00F46091">
              <w:rPr>
                <w:rFonts w:ascii="Book Antiqua" w:hAnsi="Book Antiqua"/>
                <w:b/>
                <w:sz w:val="20"/>
                <w:szCs w:val="18"/>
              </w:rPr>
              <w:t>Description</w:t>
            </w:r>
          </w:p>
        </w:tc>
        <w:tc>
          <w:tcPr>
            <w:tcW w:w="2409" w:type="dxa"/>
          </w:tcPr>
          <w:p w14:paraId="2DE6E42A" w14:textId="37364E51" w:rsidR="006C474D" w:rsidRPr="00F46091" w:rsidRDefault="006C474D" w:rsidP="00F46091">
            <w:pPr>
              <w:spacing w:before="120" w:after="120" w:line="240" w:lineRule="auto"/>
              <w:jc w:val="center"/>
              <w:rPr>
                <w:rFonts w:ascii="Book Antiqua" w:hAnsi="Book Antiqua"/>
                <w:b/>
                <w:sz w:val="20"/>
                <w:szCs w:val="18"/>
              </w:rPr>
            </w:pPr>
            <w:r w:rsidRPr="00F46091">
              <w:rPr>
                <w:rFonts w:ascii="Book Antiqua" w:hAnsi="Book Antiqua"/>
                <w:b/>
                <w:sz w:val="20"/>
                <w:szCs w:val="18"/>
              </w:rPr>
              <w:t>L</w:t>
            </w:r>
            <w:r w:rsidRPr="00F46091">
              <w:rPr>
                <w:rFonts w:ascii="Book Antiqua" w:hAnsi="Book Antiqua"/>
                <w:b/>
                <w:sz w:val="20"/>
                <w:szCs w:val="18"/>
              </w:rPr>
              <w:t>T</w:t>
            </w:r>
          </w:p>
        </w:tc>
      </w:tr>
      <w:tr w:rsidR="006C474D" w:rsidRPr="00F46091" w14:paraId="22E64A28" w14:textId="77777777" w:rsidTr="006C474D">
        <w:trPr>
          <w:trHeight w:val="441"/>
          <w:jc w:val="center"/>
        </w:trPr>
        <w:tc>
          <w:tcPr>
            <w:tcW w:w="3823" w:type="dxa"/>
          </w:tcPr>
          <w:p w14:paraId="6156D301" w14:textId="6E98D643" w:rsidR="006C474D" w:rsidRPr="00F46091" w:rsidRDefault="006C474D" w:rsidP="00F46091">
            <w:pPr>
              <w:tabs>
                <w:tab w:val="left" w:pos="2189"/>
              </w:tabs>
              <w:spacing w:before="120" w:after="120" w:line="240" w:lineRule="auto"/>
              <w:rPr>
                <w:rFonts w:ascii="Book Antiqua" w:hAnsi="Book Antiqua"/>
                <w:b/>
                <w:sz w:val="20"/>
                <w:szCs w:val="18"/>
              </w:rPr>
            </w:pPr>
            <w:r w:rsidRPr="00F46091">
              <w:rPr>
                <w:rFonts w:ascii="Book Antiqua" w:hAnsi="Book Antiqua"/>
                <w:b/>
                <w:sz w:val="20"/>
                <w:szCs w:val="18"/>
              </w:rPr>
              <w:t>Wheeling</w:t>
            </w:r>
            <w:r w:rsidRPr="00F46091">
              <w:rPr>
                <w:rFonts w:ascii="Book Antiqua" w:hAnsi="Book Antiqua"/>
                <w:b/>
                <w:spacing w:val="-4"/>
                <w:sz w:val="20"/>
                <w:szCs w:val="18"/>
              </w:rPr>
              <w:t xml:space="preserve"> </w:t>
            </w:r>
            <w:r w:rsidRPr="00F46091">
              <w:rPr>
                <w:rFonts w:ascii="Book Antiqua" w:hAnsi="Book Antiqua"/>
                <w:b/>
                <w:sz w:val="20"/>
                <w:szCs w:val="18"/>
              </w:rPr>
              <w:t>charge</w:t>
            </w:r>
            <w:r w:rsidRPr="00F46091">
              <w:rPr>
                <w:rFonts w:ascii="Book Antiqua" w:hAnsi="Book Antiqua"/>
                <w:b/>
                <w:sz w:val="20"/>
                <w:szCs w:val="18"/>
              </w:rPr>
              <w:t xml:space="preserve">s </w:t>
            </w:r>
            <w:r w:rsidRPr="00F46091">
              <w:rPr>
                <w:rFonts w:ascii="Book Antiqua" w:hAnsi="Book Antiqua"/>
                <w:b/>
                <w:sz w:val="20"/>
                <w:szCs w:val="18"/>
              </w:rPr>
              <w:t>(Paise</w:t>
            </w:r>
            <w:r w:rsidRPr="00F46091">
              <w:rPr>
                <w:rFonts w:ascii="Book Antiqua" w:hAnsi="Book Antiqua"/>
                <w:b/>
                <w:spacing w:val="-1"/>
                <w:sz w:val="20"/>
                <w:szCs w:val="18"/>
              </w:rPr>
              <w:t xml:space="preserve"> </w:t>
            </w:r>
            <w:r w:rsidRPr="00F46091">
              <w:rPr>
                <w:rFonts w:ascii="Book Antiqua" w:hAnsi="Book Antiqua"/>
                <w:b/>
                <w:sz w:val="20"/>
                <w:szCs w:val="18"/>
              </w:rPr>
              <w:t>per</w:t>
            </w:r>
            <w:r w:rsidRPr="00F46091">
              <w:rPr>
                <w:rFonts w:ascii="Book Antiqua" w:hAnsi="Book Antiqua"/>
                <w:b/>
                <w:spacing w:val="-1"/>
                <w:sz w:val="20"/>
                <w:szCs w:val="18"/>
              </w:rPr>
              <w:t xml:space="preserve"> </w:t>
            </w:r>
            <w:r w:rsidRPr="00F46091">
              <w:rPr>
                <w:rFonts w:ascii="Book Antiqua" w:hAnsi="Book Antiqua"/>
                <w:b/>
                <w:sz w:val="20"/>
                <w:szCs w:val="18"/>
              </w:rPr>
              <w:t>unit)</w:t>
            </w:r>
          </w:p>
        </w:tc>
        <w:tc>
          <w:tcPr>
            <w:tcW w:w="2409" w:type="dxa"/>
          </w:tcPr>
          <w:p w14:paraId="50CEA6EA" w14:textId="01BC3ABA" w:rsidR="006C474D" w:rsidRPr="00F46091" w:rsidRDefault="00A452C2" w:rsidP="00F46091">
            <w:pPr>
              <w:spacing w:before="120" w:after="120" w:line="240" w:lineRule="auto"/>
              <w:jc w:val="center"/>
              <w:rPr>
                <w:rFonts w:ascii="Book Antiqua" w:hAnsi="Book Antiqua"/>
                <w:b/>
                <w:sz w:val="20"/>
                <w:szCs w:val="18"/>
              </w:rPr>
            </w:pPr>
            <w:r>
              <w:rPr>
                <w:rFonts w:ascii="Book Antiqua" w:hAnsi="Book Antiqua"/>
                <w:b/>
                <w:sz w:val="20"/>
                <w:szCs w:val="18"/>
              </w:rPr>
              <w:t>158</w:t>
            </w:r>
          </w:p>
        </w:tc>
      </w:tr>
    </w:tbl>
    <w:p w14:paraId="711AC2B2" w14:textId="77777777" w:rsidR="006C474D" w:rsidRDefault="006C474D" w:rsidP="00E974F8">
      <w:pPr>
        <w:pStyle w:val="ListParagraph"/>
        <w:autoSpaceDE w:val="0"/>
        <w:autoSpaceDN w:val="0"/>
        <w:adjustRightInd w:val="0"/>
        <w:spacing w:beforeLines="100" w:before="240" w:after="0" w:line="360" w:lineRule="auto"/>
        <w:ind w:left="1559" w:right="414"/>
        <w:contextualSpacing w:val="0"/>
        <w:jc w:val="both"/>
        <w:rPr>
          <w:rFonts w:ascii="Book Antiqua" w:hAnsi="Book Antiqua" w:cstheme="minorHAnsi"/>
        </w:rPr>
      </w:pPr>
    </w:p>
    <w:p w14:paraId="2FFFAEAF" w14:textId="6DB9C9DE" w:rsidR="00D3591F" w:rsidRDefault="00D3591F" w:rsidP="00DC7A4A">
      <w:pPr>
        <w:pStyle w:val="ListParagraph"/>
        <w:autoSpaceDE w:val="0"/>
        <w:autoSpaceDN w:val="0"/>
        <w:adjustRightInd w:val="0"/>
        <w:spacing w:beforeLines="50" w:before="120" w:after="0" w:line="240" w:lineRule="exact"/>
        <w:ind w:left="1559" w:right="414"/>
        <w:contextualSpacing w:val="0"/>
        <w:jc w:val="center"/>
        <w:rPr>
          <w:rFonts w:ascii="Book Antiqua" w:hAnsi="Book Antiqua" w:cstheme="minorHAnsi"/>
          <w:b/>
          <w:bCs/>
        </w:rPr>
      </w:pPr>
      <w:r w:rsidRPr="00D3591F">
        <w:rPr>
          <w:rFonts w:ascii="Book Antiqua" w:hAnsi="Book Antiqua" w:cstheme="minorHAnsi"/>
          <w:b/>
          <w:bCs/>
        </w:rPr>
        <w:t xml:space="preserve">Table </w:t>
      </w:r>
      <w:r w:rsidR="00BC41EA">
        <w:rPr>
          <w:rFonts w:ascii="Book Antiqua" w:hAnsi="Book Antiqua" w:cstheme="minorHAnsi"/>
          <w:b/>
          <w:bCs/>
        </w:rPr>
        <w:t>2:</w:t>
      </w:r>
      <w:r w:rsidRPr="00D3591F">
        <w:rPr>
          <w:rFonts w:ascii="Book Antiqua" w:hAnsi="Book Antiqua" w:cstheme="minorHAnsi"/>
          <w:b/>
          <w:bCs/>
        </w:rPr>
        <w:t xml:space="preserve"> Wheeling Charges for LT Consumers in TP</w:t>
      </w:r>
      <w:r w:rsidR="006C5FB6">
        <w:rPr>
          <w:rFonts w:ascii="Book Antiqua" w:hAnsi="Book Antiqua" w:cstheme="minorHAnsi"/>
          <w:b/>
          <w:bCs/>
        </w:rPr>
        <w:t>W</w:t>
      </w:r>
      <w:r w:rsidRPr="00D3591F">
        <w:rPr>
          <w:rFonts w:ascii="Book Antiqua" w:hAnsi="Book Antiqua" w:cstheme="minorHAnsi"/>
          <w:b/>
          <w:bCs/>
        </w:rPr>
        <w:t>ODL’s licensed area</w:t>
      </w:r>
      <w:r w:rsidR="00FE6231">
        <w:rPr>
          <w:rFonts w:ascii="Book Antiqua" w:hAnsi="Book Antiqua" w:cstheme="minorHAnsi"/>
          <w:b/>
          <w:bCs/>
        </w:rPr>
        <w:t xml:space="preserve"> </w:t>
      </w:r>
      <w:r w:rsidR="00FE6231" w:rsidRPr="00FE6231">
        <w:rPr>
          <w:rFonts w:ascii="Book Antiqua" w:hAnsi="Book Antiqua" w:cstheme="minorHAnsi"/>
          <w:b/>
          <w:bCs/>
        </w:rPr>
        <w:t>(Based on Amounts Proposed in ARR FY 202</w:t>
      </w:r>
      <w:r w:rsidR="00CB15FC">
        <w:rPr>
          <w:rFonts w:ascii="Book Antiqua" w:hAnsi="Book Antiqua" w:cstheme="minorHAnsi"/>
          <w:b/>
          <w:bCs/>
        </w:rPr>
        <w:t>6</w:t>
      </w:r>
      <w:r w:rsidR="00FE6231" w:rsidRPr="00FE6231">
        <w:rPr>
          <w:rFonts w:ascii="Book Antiqua" w:hAnsi="Book Antiqua" w:cstheme="minorHAnsi"/>
          <w:b/>
          <w:bCs/>
        </w:rPr>
        <w:t>-2</w:t>
      </w:r>
      <w:r w:rsidR="00CB15FC">
        <w:rPr>
          <w:rFonts w:ascii="Book Antiqua" w:hAnsi="Book Antiqua" w:cstheme="minorHAnsi"/>
          <w:b/>
          <w:bCs/>
        </w:rPr>
        <w:t>7</w:t>
      </w:r>
      <w:r w:rsidR="00FE6231" w:rsidRPr="00FE6231">
        <w:rPr>
          <w:rFonts w:ascii="Book Antiqua" w:hAnsi="Book Antiqua" w:cstheme="minorHAnsi"/>
          <w:b/>
          <w:bCs/>
        </w:rPr>
        <w:t>)</w:t>
      </w:r>
    </w:p>
    <w:tbl>
      <w:tblPr>
        <w:tblW w:w="8614" w:type="dxa"/>
        <w:tblInd w:w="421" w:type="dxa"/>
        <w:tblLook w:val="04A0" w:firstRow="1" w:lastRow="0" w:firstColumn="1" w:lastColumn="0" w:noHBand="0" w:noVBand="1"/>
      </w:tblPr>
      <w:tblGrid>
        <w:gridCol w:w="804"/>
        <w:gridCol w:w="3940"/>
        <w:gridCol w:w="1885"/>
        <w:gridCol w:w="1398"/>
        <w:gridCol w:w="1105"/>
      </w:tblGrid>
      <w:tr w:rsidR="00A82B4B" w:rsidRPr="00A82B4B" w14:paraId="45061F0E" w14:textId="77777777" w:rsidTr="00A82B4B">
        <w:trPr>
          <w:trHeight w:val="1040"/>
        </w:trPr>
        <w:tc>
          <w:tcPr>
            <w:tcW w:w="283"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25ED588"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proofErr w:type="spellStart"/>
            <w:r w:rsidRPr="00A82B4B">
              <w:rPr>
                <w:rFonts w:ascii="Book Antiqua" w:eastAsia="Times New Roman" w:hAnsi="Book Antiqua" w:cs="Calibri"/>
                <w:b/>
                <w:bCs/>
                <w:color w:val="000000"/>
                <w:sz w:val="20"/>
                <w:szCs w:val="20"/>
                <w:lang w:eastAsia="en-IN"/>
              </w:rPr>
              <w:t>Sl</w:t>
            </w:r>
            <w:proofErr w:type="spellEnd"/>
            <w:r w:rsidRPr="00A82B4B">
              <w:rPr>
                <w:rFonts w:ascii="Book Antiqua" w:eastAsia="Times New Roman" w:hAnsi="Book Antiqua" w:cs="Calibri"/>
                <w:b/>
                <w:bCs/>
                <w:color w:val="000000"/>
                <w:sz w:val="20"/>
                <w:szCs w:val="20"/>
                <w:lang w:eastAsia="en-IN"/>
              </w:rPr>
              <w:t xml:space="preserve"> No</w:t>
            </w:r>
          </w:p>
        </w:tc>
        <w:tc>
          <w:tcPr>
            <w:tcW w:w="3940" w:type="dxa"/>
            <w:tcBorders>
              <w:top w:val="single" w:sz="4" w:space="0" w:color="auto"/>
              <w:left w:val="nil"/>
              <w:bottom w:val="single" w:sz="4" w:space="0" w:color="auto"/>
              <w:right w:val="single" w:sz="4" w:space="0" w:color="auto"/>
            </w:tcBorders>
            <w:shd w:val="clear" w:color="000000" w:fill="BDD7EE"/>
            <w:noWrap/>
            <w:vAlign w:val="center"/>
            <w:hideMark/>
          </w:tcPr>
          <w:p w14:paraId="1B329967" w14:textId="77777777" w:rsidR="00A82B4B" w:rsidRPr="00A82B4B" w:rsidRDefault="00A82B4B" w:rsidP="00A82B4B">
            <w:pPr>
              <w:spacing w:after="0" w:line="240" w:lineRule="auto"/>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Expenditure</w:t>
            </w:r>
          </w:p>
        </w:tc>
        <w:tc>
          <w:tcPr>
            <w:tcW w:w="1885" w:type="dxa"/>
            <w:tcBorders>
              <w:top w:val="single" w:sz="4" w:space="0" w:color="auto"/>
              <w:left w:val="nil"/>
              <w:bottom w:val="single" w:sz="4" w:space="0" w:color="auto"/>
              <w:right w:val="single" w:sz="4" w:space="0" w:color="auto"/>
            </w:tcBorders>
            <w:shd w:val="clear" w:color="000000" w:fill="BDD7EE"/>
            <w:vAlign w:val="center"/>
            <w:hideMark/>
          </w:tcPr>
          <w:p w14:paraId="7F33B378"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Ratio (out of Total) for consideration in wheeling business</w:t>
            </w:r>
          </w:p>
        </w:tc>
        <w:tc>
          <w:tcPr>
            <w:tcW w:w="1398" w:type="dxa"/>
            <w:tcBorders>
              <w:top w:val="single" w:sz="4" w:space="0" w:color="auto"/>
              <w:left w:val="nil"/>
              <w:bottom w:val="single" w:sz="4" w:space="0" w:color="auto"/>
              <w:right w:val="single" w:sz="4" w:space="0" w:color="auto"/>
            </w:tcBorders>
            <w:shd w:val="clear" w:color="000000" w:fill="BDD7EE"/>
            <w:vAlign w:val="center"/>
            <w:hideMark/>
          </w:tcPr>
          <w:p w14:paraId="7D79057D"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Proposed by TPWODL in ARR FY 26-27 (Rs. Cr)</w:t>
            </w:r>
          </w:p>
        </w:tc>
        <w:tc>
          <w:tcPr>
            <w:tcW w:w="1105" w:type="dxa"/>
            <w:tcBorders>
              <w:top w:val="single" w:sz="4" w:space="0" w:color="auto"/>
              <w:left w:val="nil"/>
              <w:bottom w:val="single" w:sz="4" w:space="0" w:color="auto"/>
              <w:right w:val="single" w:sz="4" w:space="0" w:color="auto"/>
            </w:tcBorders>
            <w:shd w:val="clear" w:color="000000" w:fill="BDD7EE"/>
            <w:vAlign w:val="center"/>
            <w:hideMark/>
          </w:tcPr>
          <w:p w14:paraId="26D49934"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Wheeling ARR (Rs. Cr)</w:t>
            </w:r>
          </w:p>
        </w:tc>
      </w:tr>
      <w:tr w:rsidR="00A82B4B" w:rsidRPr="00A82B4B" w14:paraId="51A26485"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16E23AA6"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w:t>
            </w:r>
          </w:p>
        </w:tc>
        <w:tc>
          <w:tcPr>
            <w:tcW w:w="3940" w:type="dxa"/>
            <w:tcBorders>
              <w:top w:val="nil"/>
              <w:left w:val="nil"/>
              <w:bottom w:val="single" w:sz="4" w:space="0" w:color="auto"/>
              <w:right w:val="single" w:sz="4" w:space="0" w:color="auto"/>
            </w:tcBorders>
            <w:noWrap/>
            <w:vAlign w:val="bottom"/>
            <w:hideMark/>
          </w:tcPr>
          <w:p w14:paraId="7FF0AE9E"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Employee costs (After Capitalisation)</w:t>
            </w:r>
          </w:p>
        </w:tc>
        <w:tc>
          <w:tcPr>
            <w:tcW w:w="1885" w:type="dxa"/>
            <w:tcBorders>
              <w:top w:val="nil"/>
              <w:left w:val="nil"/>
              <w:bottom w:val="single" w:sz="4" w:space="0" w:color="auto"/>
              <w:right w:val="single" w:sz="4" w:space="0" w:color="auto"/>
            </w:tcBorders>
            <w:noWrap/>
            <w:vAlign w:val="center"/>
            <w:hideMark/>
          </w:tcPr>
          <w:p w14:paraId="4F67EC11"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60%</w:t>
            </w:r>
          </w:p>
        </w:tc>
        <w:tc>
          <w:tcPr>
            <w:tcW w:w="1398" w:type="dxa"/>
            <w:tcBorders>
              <w:top w:val="nil"/>
              <w:left w:val="nil"/>
              <w:bottom w:val="single" w:sz="4" w:space="0" w:color="auto"/>
              <w:right w:val="single" w:sz="4" w:space="0" w:color="auto"/>
            </w:tcBorders>
            <w:noWrap/>
            <w:vAlign w:val="center"/>
            <w:hideMark/>
          </w:tcPr>
          <w:p w14:paraId="60D82E00"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596.40</w:t>
            </w:r>
          </w:p>
        </w:tc>
        <w:tc>
          <w:tcPr>
            <w:tcW w:w="1105" w:type="dxa"/>
            <w:tcBorders>
              <w:top w:val="nil"/>
              <w:left w:val="nil"/>
              <w:bottom w:val="single" w:sz="4" w:space="0" w:color="auto"/>
              <w:right w:val="single" w:sz="4" w:space="0" w:color="auto"/>
            </w:tcBorders>
            <w:noWrap/>
            <w:vAlign w:val="center"/>
            <w:hideMark/>
          </w:tcPr>
          <w:p w14:paraId="6069B06E"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357.84</w:t>
            </w:r>
          </w:p>
        </w:tc>
      </w:tr>
      <w:tr w:rsidR="00A82B4B" w:rsidRPr="00A82B4B" w14:paraId="18ABFC60"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5DF7261F"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2</w:t>
            </w:r>
          </w:p>
        </w:tc>
        <w:tc>
          <w:tcPr>
            <w:tcW w:w="3940" w:type="dxa"/>
            <w:tcBorders>
              <w:top w:val="nil"/>
              <w:left w:val="nil"/>
              <w:bottom w:val="single" w:sz="4" w:space="0" w:color="auto"/>
              <w:right w:val="single" w:sz="4" w:space="0" w:color="auto"/>
            </w:tcBorders>
            <w:noWrap/>
            <w:vAlign w:val="bottom"/>
            <w:hideMark/>
          </w:tcPr>
          <w:p w14:paraId="6D7E4B00"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Repair &amp; Maintenance</w:t>
            </w:r>
          </w:p>
        </w:tc>
        <w:tc>
          <w:tcPr>
            <w:tcW w:w="1885" w:type="dxa"/>
            <w:tcBorders>
              <w:top w:val="nil"/>
              <w:left w:val="nil"/>
              <w:bottom w:val="single" w:sz="4" w:space="0" w:color="auto"/>
              <w:right w:val="single" w:sz="4" w:space="0" w:color="auto"/>
            </w:tcBorders>
            <w:noWrap/>
            <w:vAlign w:val="center"/>
            <w:hideMark/>
          </w:tcPr>
          <w:p w14:paraId="211033BE"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90%</w:t>
            </w:r>
          </w:p>
        </w:tc>
        <w:tc>
          <w:tcPr>
            <w:tcW w:w="1398" w:type="dxa"/>
            <w:tcBorders>
              <w:top w:val="nil"/>
              <w:left w:val="nil"/>
              <w:bottom w:val="single" w:sz="4" w:space="0" w:color="auto"/>
              <w:right w:val="single" w:sz="4" w:space="0" w:color="auto"/>
            </w:tcBorders>
            <w:noWrap/>
            <w:vAlign w:val="center"/>
            <w:hideMark/>
          </w:tcPr>
          <w:p w14:paraId="059DB381"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348.62</w:t>
            </w:r>
          </w:p>
        </w:tc>
        <w:tc>
          <w:tcPr>
            <w:tcW w:w="1105" w:type="dxa"/>
            <w:tcBorders>
              <w:top w:val="nil"/>
              <w:left w:val="nil"/>
              <w:bottom w:val="single" w:sz="4" w:space="0" w:color="auto"/>
              <w:right w:val="single" w:sz="4" w:space="0" w:color="auto"/>
            </w:tcBorders>
            <w:noWrap/>
            <w:vAlign w:val="center"/>
            <w:hideMark/>
          </w:tcPr>
          <w:p w14:paraId="0DFC072D"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313.76</w:t>
            </w:r>
          </w:p>
        </w:tc>
      </w:tr>
      <w:tr w:rsidR="00A82B4B" w:rsidRPr="00A82B4B" w14:paraId="6D2CA7EC"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18FDBD1A"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w:t>
            </w:r>
          </w:p>
        </w:tc>
        <w:tc>
          <w:tcPr>
            <w:tcW w:w="3940" w:type="dxa"/>
            <w:tcBorders>
              <w:top w:val="nil"/>
              <w:left w:val="nil"/>
              <w:bottom w:val="single" w:sz="4" w:space="0" w:color="auto"/>
              <w:right w:val="single" w:sz="4" w:space="0" w:color="auto"/>
            </w:tcBorders>
            <w:noWrap/>
            <w:vAlign w:val="bottom"/>
            <w:hideMark/>
          </w:tcPr>
          <w:p w14:paraId="594C5A32"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A &amp; G Expenses</w:t>
            </w:r>
          </w:p>
        </w:tc>
        <w:tc>
          <w:tcPr>
            <w:tcW w:w="1885" w:type="dxa"/>
            <w:tcBorders>
              <w:top w:val="nil"/>
              <w:left w:val="nil"/>
              <w:bottom w:val="single" w:sz="4" w:space="0" w:color="auto"/>
              <w:right w:val="single" w:sz="4" w:space="0" w:color="auto"/>
            </w:tcBorders>
            <w:noWrap/>
            <w:vAlign w:val="center"/>
            <w:hideMark/>
          </w:tcPr>
          <w:p w14:paraId="612D2281"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50%</w:t>
            </w:r>
          </w:p>
        </w:tc>
        <w:tc>
          <w:tcPr>
            <w:tcW w:w="1398" w:type="dxa"/>
            <w:tcBorders>
              <w:top w:val="nil"/>
              <w:left w:val="nil"/>
              <w:bottom w:val="single" w:sz="4" w:space="0" w:color="auto"/>
              <w:right w:val="single" w:sz="4" w:space="0" w:color="auto"/>
            </w:tcBorders>
            <w:noWrap/>
            <w:vAlign w:val="center"/>
            <w:hideMark/>
          </w:tcPr>
          <w:p w14:paraId="1B918FC0"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272.14</w:t>
            </w:r>
          </w:p>
        </w:tc>
        <w:tc>
          <w:tcPr>
            <w:tcW w:w="1105" w:type="dxa"/>
            <w:tcBorders>
              <w:top w:val="nil"/>
              <w:left w:val="nil"/>
              <w:bottom w:val="single" w:sz="4" w:space="0" w:color="auto"/>
              <w:right w:val="single" w:sz="4" w:space="0" w:color="auto"/>
            </w:tcBorders>
            <w:noWrap/>
            <w:vAlign w:val="center"/>
            <w:hideMark/>
          </w:tcPr>
          <w:p w14:paraId="3A4466E8"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136.07</w:t>
            </w:r>
          </w:p>
        </w:tc>
      </w:tr>
      <w:tr w:rsidR="00A82B4B" w:rsidRPr="00A82B4B" w14:paraId="3E6B6104"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6532FA2D"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4</w:t>
            </w:r>
          </w:p>
        </w:tc>
        <w:tc>
          <w:tcPr>
            <w:tcW w:w="3940" w:type="dxa"/>
            <w:tcBorders>
              <w:top w:val="nil"/>
              <w:left w:val="nil"/>
              <w:bottom w:val="single" w:sz="4" w:space="0" w:color="auto"/>
              <w:right w:val="single" w:sz="4" w:space="0" w:color="auto"/>
            </w:tcBorders>
            <w:noWrap/>
            <w:vAlign w:val="bottom"/>
            <w:hideMark/>
          </w:tcPr>
          <w:p w14:paraId="6FB46A7C"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Depreciation</w:t>
            </w:r>
          </w:p>
        </w:tc>
        <w:tc>
          <w:tcPr>
            <w:tcW w:w="1885" w:type="dxa"/>
            <w:tcBorders>
              <w:top w:val="nil"/>
              <w:left w:val="nil"/>
              <w:bottom w:val="single" w:sz="4" w:space="0" w:color="auto"/>
              <w:right w:val="single" w:sz="4" w:space="0" w:color="auto"/>
            </w:tcBorders>
            <w:noWrap/>
            <w:vAlign w:val="center"/>
            <w:hideMark/>
          </w:tcPr>
          <w:p w14:paraId="77660497"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90%</w:t>
            </w:r>
          </w:p>
        </w:tc>
        <w:tc>
          <w:tcPr>
            <w:tcW w:w="1398" w:type="dxa"/>
            <w:tcBorders>
              <w:top w:val="nil"/>
              <w:left w:val="nil"/>
              <w:bottom w:val="single" w:sz="4" w:space="0" w:color="auto"/>
              <w:right w:val="single" w:sz="4" w:space="0" w:color="auto"/>
            </w:tcBorders>
            <w:noWrap/>
            <w:vAlign w:val="center"/>
            <w:hideMark/>
          </w:tcPr>
          <w:p w14:paraId="1FCB0447"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191.68</w:t>
            </w:r>
          </w:p>
        </w:tc>
        <w:tc>
          <w:tcPr>
            <w:tcW w:w="1105" w:type="dxa"/>
            <w:tcBorders>
              <w:top w:val="nil"/>
              <w:left w:val="nil"/>
              <w:bottom w:val="single" w:sz="4" w:space="0" w:color="auto"/>
              <w:right w:val="single" w:sz="4" w:space="0" w:color="auto"/>
            </w:tcBorders>
            <w:noWrap/>
            <w:vAlign w:val="center"/>
            <w:hideMark/>
          </w:tcPr>
          <w:p w14:paraId="4A6FCF2A"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172.51</w:t>
            </w:r>
          </w:p>
        </w:tc>
      </w:tr>
      <w:tr w:rsidR="00A82B4B" w:rsidRPr="00A82B4B" w14:paraId="63854511"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3875995D"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w:t>
            </w:r>
          </w:p>
        </w:tc>
        <w:tc>
          <w:tcPr>
            <w:tcW w:w="3940" w:type="dxa"/>
            <w:tcBorders>
              <w:top w:val="nil"/>
              <w:left w:val="nil"/>
              <w:bottom w:val="single" w:sz="4" w:space="0" w:color="auto"/>
              <w:right w:val="single" w:sz="4" w:space="0" w:color="auto"/>
            </w:tcBorders>
            <w:noWrap/>
            <w:vAlign w:val="bottom"/>
            <w:hideMark/>
          </w:tcPr>
          <w:p w14:paraId="1289667F"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Interest on long term Loan capital</w:t>
            </w:r>
          </w:p>
        </w:tc>
        <w:tc>
          <w:tcPr>
            <w:tcW w:w="1885" w:type="dxa"/>
            <w:tcBorders>
              <w:top w:val="nil"/>
              <w:left w:val="nil"/>
              <w:bottom w:val="single" w:sz="4" w:space="0" w:color="auto"/>
              <w:right w:val="single" w:sz="4" w:space="0" w:color="auto"/>
            </w:tcBorders>
            <w:noWrap/>
            <w:vAlign w:val="center"/>
            <w:hideMark/>
          </w:tcPr>
          <w:p w14:paraId="3C2DC438"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90%</w:t>
            </w:r>
          </w:p>
        </w:tc>
        <w:tc>
          <w:tcPr>
            <w:tcW w:w="1398" w:type="dxa"/>
            <w:tcBorders>
              <w:top w:val="nil"/>
              <w:left w:val="nil"/>
              <w:bottom w:val="single" w:sz="4" w:space="0" w:color="auto"/>
              <w:right w:val="single" w:sz="4" w:space="0" w:color="auto"/>
            </w:tcBorders>
            <w:noWrap/>
            <w:vAlign w:val="center"/>
            <w:hideMark/>
          </w:tcPr>
          <w:p w14:paraId="42CD6705"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105.51</w:t>
            </w:r>
          </w:p>
        </w:tc>
        <w:tc>
          <w:tcPr>
            <w:tcW w:w="1105" w:type="dxa"/>
            <w:tcBorders>
              <w:top w:val="nil"/>
              <w:left w:val="nil"/>
              <w:bottom w:val="single" w:sz="4" w:space="0" w:color="auto"/>
              <w:right w:val="single" w:sz="4" w:space="0" w:color="auto"/>
            </w:tcBorders>
            <w:noWrap/>
            <w:vAlign w:val="center"/>
            <w:hideMark/>
          </w:tcPr>
          <w:p w14:paraId="5CF5FA04"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94.96</w:t>
            </w:r>
          </w:p>
        </w:tc>
      </w:tr>
      <w:tr w:rsidR="00A82B4B" w:rsidRPr="00A82B4B" w14:paraId="7EDC7C1A"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0AB7804F"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6</w:t>
            </w:r>
          </w:p>
        </w:tc>
        <w:tc>
          <w:tcPr>
            <w:tcW w:w="3940" w:type="dxa"/>
            <w:tcBorders>
              <w:top w:val="nil"/>
              <w:left w:val="nil"/>
              <w:bottom w:val="single" w:sz="4" w:space="0" w:color="auto"/>
              <w:right w:val="single" w:sz="4" w:space="0" w:color="auto"/>
            </w:tcBorders>
            <w:noWrap/>
            <w:vAlign w:val="bottom"/>
            <w:hideMark/>
          </w:tcPr>
          <w:p w14:paraId="3CC21617"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Interest on Working Capital Loan</w:t>
            </w:r>
          </w:p>
        </w:tc>
        <w:tc>
          <w:tcPr>
            <w:tcW w:w="1885" w:type="dxa"/>
            <w:tcBorders>
              <w:top w:val="nil"/>
              <w:left w:val="nil"/>
              <w:bottom w:val="single" w:sz="4" w:space="0" w:color="auto"/>
              <w:right w:val="single" w:sz="4" w:space="0" w:color="auto"/>
            </w:tcBorders>
            <w:noWrap/>
            <w:vAlign w:val="center"/>
            <w:hideMark/>
          </w:tcPr>
          <w:p w14:paraId="7CD63D74"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10%</w:t>
            </w:r>
          </w:p>
        </w:tc>
        <w:tc>
          <w:tcPr>
            <w:tcW w:w="1398" w:type="dxa"/>
            <w:tcBorders>
              <w:top w:val="nil"/>
              <w:left w:val="nil"/>
              <w:bottom w:val="single" w:sz="4" w:space="0" w:color="auto"/>
              <w:right w:val="single" w:sz="4" w:space="0" w:color="auto"/>
            </w:tcBorders>
            <w:noWrap/>
            <w:vAlign w:val="center"/>
            <w:hideMark/>
          </w:tcPr>
          <w:p w14:paraId="420087D2"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50.75</w:t>
            </w:r>
          </w:p>
        </w:tc>
        <w:tc>
          <w:tcPr>
            <w:tcW w:w="1105" w:type="dxa"/>
            <w:tcBorders>
              <w:top w:val="nil"/>
              <w:left w:val="nil"/>
              <w:bottom w:val="single" w:sz="4" w:space="0" w:color="auto"/>
              <w:right w:val="single" w:sz="4" w:space="0" w:color="auto"/>
            </w:tcBorders>
            <w:noWrap/>
            <w:vAlign w:val="center"/>
            <w:hideMark/>
          </w:tcPr>
          <w:p w14:paraId="296766B8"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5.07</w:t>
            </w:r>
          </w:p>
        </w:tc>
      </w:tr>
      <w:tr w:rsidR="00A82B4B" w:rsidRPr="00A82B4B" w14:paraId="106B9DD8"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6B91FAC9"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7</w:t>
            </w:r>
          </w:p>
        </w:tc>
        <w:tc>
          <w:tcPr>
            <w:tcW w:w="3940" w:type="dxa"/>
            <w:tcBorders>
              <w:top w:val="nil"/>
              <w:left w:val="nil"/>
              <w:bottom w:val="single" w:sz="4" w:space="0" w:color="auto"/>
              <w:right w:val="single" w:sz="4" w:space="0" w:color="auto"/>
            </w:tcBorders>
            <w:noWrap/>
            <w:vAlign w:val="bottom"/>
            <w:hideMark/>
          </w:tcPr>
          <w:p w14:paraId="5A4EEF46"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Return on equity</w:t>
            </w:r>
          </w:p>
        </w:tc>
        <w:tc>
          <w:tcPr>
            <w:tcW w:w="1885" w:type="dxa"/>
            <w:tcBorders>
              <w:top w:val="nil"/>
              <w:left w:val="nil"/>
              <w:bottom w:val="single" w:sz="4" w:space="0" w:color="auto"/>
              <w:right w:val="single" w:sz="4" w:space="0" w:color="auto"/>
            </w:tcBorders>
            <w:noWrap/>
            <w:vAlign w:val="center"/>
            <w:hideMark/>
          </w:tcPr>
          <w:p w14:paraId="213E2CD2"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90%</w:t>
            </w:r>
          </w:p>
        </w:tc>
        <w:tc>
          <w:tcPr>
            <w:tcW w:w="1398" w:type="dxa"/>
            <w:tcBorders>
              <w:top w:val="nil"/>
              <w:left w:val="nil"/>
              <w:bottom w:val="single" w:sz="4" w:space="0" w:color="auto"/>
              <w:right w:val="single" w:sz="4" w:space="0" w:color="auto"/>
            </w:tcBorders>
            <w:noWrap/>
            <w:vAlign w:val="center"/>
            <w:hideMark/>
          </w:tcPr>
          <w:p w14:paraId="694A2657"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174.89</w:t>
            </w:r>
          </w:p>
        </w:tc>
        <w:tc>
          <w:tcPr>
            <w:tcW w:w="1105" w:type="dxa"/>
            <w:tcBorders>
              <w:top w:val="nil"/>
              <w:left w:val="nil"/>
              <w:bottom w:val="single" w:sz="4" w:space="0" w:color="auto"/>
              <w:right w:val="single" w:sz="4" w:space="0" w:color="auto"/>
            </w:tcBorders>
            <w:noWrap/>
            <w:vAlign w:val="center"/>
            <w:hideMark/>
          </w:tcPr>
          <w:p w14:paraId="5CADBE55"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157.40</w:t>
            </w:r>
          </w:p>
        </w:tc>
      </w:tr>
      <w:tr w:rsidR="00A82B4B" w:rsidRPr="00A82B4B" w14:paraId="777A1887"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0B932E94"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8</w:t>
            </w:r>
          </w:p>
        </w:tc>
        <w:tc>
          <w:tcPr>
            <w:tcW w:w="3940" w:type="dxa"/>
            <w:tcBorders>
              <w:top w:val="nil"/>
              <w:left w:val="nil"/>
              <w:bottom w:val="single" w:sz="4" w:space="0" w:color="auto"/>
              <w:right w:val="single" w:sz="4" w:space="0" w:color="auto"/>
            </w:tcBorders>
            <w:noWrap/>
            <w:vAlign w:val="bottom"/>
            <w:hideMark/>
          </w:tcPr>
          <w:p w14:paraId="286EA5B4"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Tax on ROE</w:t>
            </w:r>
          </w:p>
        </w:tc>
        <w:tc>
          <w:tcPr>
            <w:tcW w:w="1885" w:type="dxa"/>
            <w:tcBorders>
              <w:top w:val="nil"/>
              <w:left w:val="nil"/>
              <w:bottom w:val="single" w:sz="4" w:space="0" w:color="auto"/>
              <w:right w:val="single" w:sz="4" w:space="0" w:color="auto"/>
            </w:tcBorders>
            <w:noWrap/>
            <w:vAlign w:val="center"/>
            <w:hideMark/>
          </w:tcPr>
          <w:p w14:paraId="37D7BE3C"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90%</w:t>
            </w:r>
          </w:p>
        </w:tc>
        <w:tc>
          <w:tcPr>
            <w:tcW w:w="1398" w:type="dxa"/>
            <w:tcBorders>
              <w:top w:val="nil"/>
              <w:left w:val="nil"/>
              <w:bottom w:val="single" w:sz="4" w:space="0" w:color="auto"/>
              <w:right w:val="single" w:sz="4" w:space="0" w:color="auto"/>
            </w:tcBorders>
            <w:noWrap/>
            <w:vAlign w:val="center"/>
            <w:hideMark/>
          </w:tcPr>
          <w:p w14:paraId="6AA9E773"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58.82</w:t>
            </w:r>
          </w:p>
        </w:tc>
        <w:tc>
          <w:tcPr>
            <w:tcW w:w="1105" w:type="dxa"/>
            <w:tcBorders>
              <w:top w:val="nil"/>
              <w:left w:val="nil"/>
              <w:bottom w:val="single" w:sz="4" w:space="0" w:color="auto"/>
              <w:right w:val="single" w:sz="4" w:space="0" w:color="auto"/>
            </w:tcBorders>
            <w:noWrap/>
            <w:vAlign w:val="center"/>
            <w:hideMark/>
          </w:tcPr>
          <w:p w14:paraId="132116F3"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52.94</w:t>
            </w:r>
          </w:p>
        </w:tc>
      </w:tr>
      <w:tr w:rsidR="00A82B4B" w:rsidRPr="00A82B4B" w14:paraId="1EB8FEB2" w14:textId="77777777" w:rsidTr="00721F13">
        <w:trPr>
          <w:trHeight w:val="290"/>
        </w:trPr>
        <w:tc>
          <w:tcPr>
            <w:tcW w:w="28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20BF259"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9</w:t>
            </w:r>
          </w:p>
        </w:tc>
        <w:tc>
          <w:tcPr>
            <w:tcW w:w="3940" w:type="dxa"/>
            <w:tcBorders>
              <w:top w:val="nil"/>
              <w:left w:val="nil"/>
              <w:bottom w:val="single" w:sz="4" w:space="0" w:color="auto"/>
              <w:right w:val="single" w:sz="4" w:space="0" w:color="auto"/>
            </w:tcBorders>
            <w:shd w:val="clear" w:color="auto" w:fill="FFFFFF" w:themeFill="background1"/>
            <w:noWrap/>
            <w:vAlign w:val="bottom"/>
            <w:hideMark/>
          </w:tcPr>
          <w:p w14:paraId="3F5D0B30" w14:textId="77777777" w:rsidR="00A82B4B" w:rsidRPr="00A82B4B" w:rsidRDefault="00A82B4B" w:rsidP="00A82B4B">
            <w:pPr>
              <w:spacing w:after="0" w:line="240" w:lineRule="auto"/>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Gross Total</w:t>
            </w:r>
          </w:p>
        </w:tc>
        <w:tc>
          <w:tcPr>
            <w:tcW w:w="1885" w:type="dxa"/>
            <w:tcBorders>
              <w:top w:val="nil"/>
              <w:left w:val="nil"/>
              <w:bottom w:val="single" w:sz="4" w:space="0" w:color="auto"/>
              <w:right w:val="single" w:sz="4" w:space="0" w:color="auto"/>
            </w:tcBorders>
            <w:shd w:val="clear" w:color="auto" w:fill="FFFFFF" w:themeFill="background1"/>
            <w:noWrap/>
            <w:vAlign w:val="center"/>
            <w:hideMark/>
          </w:tcPr>
          <w:p w14:paraId="6F82F585" w14:textId="6ED622BF"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p>
        </w:tc>
        <w:tc>
          <w:tcPr>
            <w:tcW w:w="1398" w:type="dxa"/>
            <w:tcBorders>
              <w:top w:val="nil"/>
              <w:left w:val="nil"/>
              <w:bottom w:val="single" w:sz="4" w:space="0" w:color="auto"/>
              <w:right w:val="single" w:sz="4" w:space="0" w:color="auto"/>
            </w:tcBorders>
            <w:shd w:val="clear" w:color="auto" w:fill="FFFFFF" w:themeFill="background1"/>
            <w:noWrap/>
            <w:vAlign w:val="center"/>
            <w:hideMark/>
          </w:tcPr>
          <w:p w14:paraId="0E11DB4B"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1798.8</w:t>
            </w:r>
          </w:p>
        </w:tc>
        <w:tc>
          <w:tcPr>
            <w:tcW w:w="1105" w:type="dxa"/>
            <w:tcBorders>
              <w:top w:val="nil"/>
              <w:left w:val="nil"/>
              <w:bottom w:val="single" w:sz="4" w:space="0" w:color="auto"/>
              <w:right w:val="single" w:sz="4" w:space="0" w:color="auto"/>
            </w:tcBorders>
            <w:shd w:val="clear" w:color="auto" w:fill="FFFFFF" w:themeFill="background1"/>
            <w:noWrap/>
            <w:vAlign w:val="center"/>
            <w:hideMark/>
          </w:tcPr>
          <w:p w14:paraId="5E1675FB"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1290.56</w:t>
            </w:r>
          </w:p>
        </w:tc>
      </w:tr>
      <w:tr w:rsidR="00A82B4B" w:rsidRPr="00A82B4B" w14:paraId="62BCEE94"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3A0FA458"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10</w:t>
            </w:r>
          </w:p>
        </w:tc>
        <w:tc>
          <w:tcPr>
            <w:tcW w:w="3940" w:type="dxa"/>
            <w:tcBorders>
              <w:top w:val="nil"/>
              <w:left w:val="nil"/>
              <w:bottom w:val="single" w:sz="4" w:space="0" w:color="auto"/>
              <w:right w:val="single" w:sz="4" w:space="0" w:color="auto"/>
            </w:tcBorders>
            <w:noWrap/>
            <w:vAlign w:val="bottom"/>
            <w:hideMark/>
          </w:tcPr>
          <w:p w14:paraId="052087DC"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 xml:space="preserve">Less: </w:t>
            </w:r>
            <w:proofErr w:type="spellStart"/>
            <w:r w:rsidRPr="00A82B4B">
              <w:rPr>
                <w:rFonts w:ascii="Book Antiqua" w:eastAsia="Times New Roman" w:hAnsi="Book Antiqua" w:cs="Calibri"/>
                <w:color w:val="000000"/>
                <w:sz w:val="20"/>
                <w:szCs w:val="20"/>
                <w:lang w:eastAsia="en-IN"/>
              </w:rPr>
              <w:t>Non Tariff</w:t>
            </w:r>
            <w:proofErr w:type="spellEnd"/>
            <w:r w:rsidRPr="00A82B4B">
              <w:rPr>
                <w:rFonts w:ascii="Book Antiqua" w:eastAsia="Times New Roman" w:hAnsi="Book Antiqua" w:cs="Calibri"/>
                <w:color w:val="000000"/>
                <w:sz w:val="20"/>
                <w:szCs w:val="20"/>
                <w:lang w:eastAsia="en-IN"/>
              </w:rPr>
              <w:t xml:space="preserve"> Income*</w:t>
            </w:r>
          </w:p>
        </w:tc>
        <w:tc>
          <w:tcPr>
            <w:tcW w:w="1885" w:type="dxa"/>
            <w:tcBorders>
              <w:top w:val="nil"/>
              <w:left w:val="nil"/>
              <w:bottom w:val="single" w:sz="4" w:space="0" w:color="auto"/>
              <w:right w:val="single" w:sz="4" w:space="0" w:color="auto"/>
            </w:tcBorders>
            <w:noWrap/>
            <w:vAlign w:val="center"/>
            <w:hideMark/>
          </w:tcPr>
          <w:p w14:paraId="4C08A5C3"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10%</w:t>
            </w:r>
          </w:p>
        </w:tc>
        <w:tc>
          <w:tcPr>
            <w:tcW w:w="1398" w:type="dxa"/>
            <w:tcBorders>
              <w:top w:val="nil"/>
              <w:left w:val="nil"/>
              <w:bottom w:val="single" w:sz="4" w:space="0" w:color="auto"/>
              <w:right w:val="single" w:sz="4" w:space="0" w:color="auto"/>
            </w:tcBorders>
            <w:noWrap/>
            <w:vAlign w:val="center"/>
            <w:hideMark/>
          </w:tcPr>
          <w:p w14:paraId="02CC1571"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328.02</w:t>
            </w:r>
          </w:p>
        </w:tc>
        <w:tc>
          <w:tcPr>
            <w:tcW w:w="1105" w:type="dxa"/>
            <w:tcBorders>
              <w:top w:val="nil"/>
              <w:left w:val="nil"/>
              <w:bottom w:val="single" w:sz="4" w:space="0" w:color="auto"/>
              <w:right w:val="single" w:sz="4" w:space="0" w:color="auto"/>
            </w:tcBorders>
            <w:noWrap/>
            <w:vAlign w:val="center"/>
            <w:hideMark/>
          </w:tcPr>
          <w:p w14:paraId="6A5F3D3B"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32.80</w:t>
            </w:r>
          </w:p>
        </w:tc>
      </w:tr>
      <w:tr w:rsidR="00A82B4B" w:rsidRPr="00A82B4B" w14:paraId="0D94DF38"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05199510"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11</w:t>
            </w:r>
          </w:p>
        </w:tc>
        <w:tc>
          <w:tcPr>
            <w:tcW w:w="3940" w:type="dxa"/>
            <w:tcBorders>
              <w:top w:val="nil"/>
              <w:left w:val="nil"/>
              <w:bottom w:val="single" w:sz="4" w:space="0" w:color="auto"/>
              <w:right w:val="single" w:sz="4" w:space="0" w:color="auto"/>
            </w:tcBorders>
            <w:noWrap/>
            <w:vAlign w:val="bottom"/>
            <w:hideMark/>
          </w:tcPr>
          <w:p w14:paraId="41782C80"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Total wheeling Cost</w:t>
            </w:r>
          </w:p>
        </w:tc>
        <w:tc>
          <w:tcPr>
            <w:tcW w:w="1885" w:type="dxa"/>
            <w:tcBorders>
              <w:top w:val="nil"/>
              <w:left w:val="nil"/>
              <w:bottom w:val="single" w:sz="4" w:space="0" w:color="auto"/>
              <w:right w:val="single" w:sz="4" w:space="0" w:color="auto"/>
            </w:tcBorders>
            <w:noWrap/>
            <w:vAlign w:val="center"/>
            <w:hideMark/>
          </w:tcPr>
          <w:p w14:paraId="3A50125A" w14:textId="27FFDE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p>
        </w:tc>
        <w:tc>
          <w:tcPr>
            <w:tcW w:w="1398" w:type="dxa"/>
            <w:tcBorders>
              <w:top w:val="nil"/>
              <w:left w:val="nil"/>
              <w:bottom w:val="single" w:sz="4" w:space="0" w:color="auto"/>
              <w:right w:val="single" w:sz="4" w:space="0" w:color="auto"/>
            </w:tcBorders>
            <w:noWrap/>
            <w:vAlign w:val="center"/>
            <w:hideMark/>
          </w:tcPr>
          <w:p w14:paraId="2CDCD718" w14:textId="1E06566C"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p>
        </w:tc>
        <w:tc>
          <w:tcPr>
            <w:tcW w:w="1105" w:type="dxa"/>
            <w:tcBorders>
              <w:top w:val="nil"/>
              <w:left w:val="nil"/>
              <w:bottom w:val="single" w:sz="4" w:space="0" w:color="auto"/>
              <w:right w:val="single" w:sz="4" w:space="0" w:color="auto"/>
            </w:tcBorders>
            <w:noWrap/>
            <w:vAlign w:val="center"/>
            <w:hideMark/>
          </w:tcPr>
          <w:p w14:paraId="2F3489BD"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1257.75</w:t>
            </w:r>
          </w:p>
        </w:tc>
      </w:tr>
      <w:tr w:rsidR="00A82B4B" w:rsidRPr="00A82B4B" w14:paraId="2B4F780F" w14:textId="77777777" w:rsidTr="00A82B4B">
        <w:trPr>
          <w:trHeight w:val="290"/>
        </w:trPr>
        <w:tc>
          <w:tcPr>
            <w:tcW w:w="283" w:type="dxa"/>
            <w:tcBorders>
              <w:top w:val="nil"/>
              <w:left w:val="single" w:sz="4" w:space="0" w:color="auto"/>
              <w:bottom w:val="single" w:sz="4" w:space="0" w:color="auto"/>
              <w:right w:val="single" w:sz="4" w:space="0" w:color="auto"/>
            </w:tcBorders>
            <w:noWrap/>
            <w:vAlign w:val="center"/>
            <w:hideMark/>
          </w:tcPr>
          <w:p w14:paraId="23442CBB"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12</w:t>
            </w:r>
          </w:p>
        </w:tc>
        <w:tc>
          <w:tcPr>
            <w:tcW w:w="3940" w:type="dxa"/>
            <w:tcBorders>
              <w:top w:val="nil"/>
              <w:left w:val="nil"/>
              <w:bottom w:val="single" w:sz="4" w:space="0" w:color="auto"/>
              <w:right w:val="single" w:sz="4" w:space="0" w:color="auto"/>
            </w:tcBorders>
            <w:noWrap/>
            <w:vAlign w:val="bottom"/>
            <w:hideMark/>
          </w:tcPr>
          <w:p w14:paraId="0974BD0E" w14:textId="77777777" w:rsidR="00A82B4B" w:rsidRPr="00A82B4B" w:rsidRDefault="00A82B4B" w:rsidP="00A82B4B">
            <w:pPr>
              <w:spacing w:after="0" w:line="240" w:lineRule="auto"/>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Total MU approved for HT &amp; LT consumers</w:t>
            </w:r>
          </w:p>
        </w:tc>
        <w:tc>
          <w:tcPr>
            <w:tcW w:w="1885" w:type="dxa"/>
            <w:tcBorders>
              <w:top w:val="nil"/>
              <w:left w:val="nil"/>
              <w:bottom w:val="single" w:sz="4" w:space="0" w:color="auto"/>
              <w:right w:val="single" w:sz="4" w:space="0" w:color="auto"/>
            </w:tcBorders>
            <w:noWrap/>
            <w:vAlign w:val="center"/>
            <w:hideMark/>
          </w:tcPr>
          <w:p w14:paraId="5E8581A0" w14:textId="742E22E1"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p>
        </w:tc>
        <w:tc>
          <w:tcPr>
            <w:tcW w:w="1398" w:type="dxa"/>
            <w:tcBorders>
              <w:top w:val="nil"/>
              <w:left w:val="nil"/>
              <w:bottom w:val="single" w:sz="4" w:space="0" w:color="auto"/>
              <w:right w:val="single" w:sz="4" w:space="0" w:color="auto"/>
            </w:tcBorders>
            <w:noWrap/>
            <w:vAlign w:val="center"/>
            <w:hideMark/>
          </w:tcPr>
          <w:p w14:paraId="42CAB22A" w14:textId="28FD140A"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p>
        </w:tc>
        <w:tc>
          <w:tcPr>
            <w:tcW w:w="1105" w:type="dxa"/>
            <w:tcBorders>
              <w:top w:val="nil"/>
              <w:left w:val="nil"/>
              <w:bottom w:val="single" w:sz="4" w:space="0" w:color="auto"/>
              <w:right w:val="single" w:sz="4" w:space="0" w:color="auto"/>
            </w:tcBorders>
            <w:noWrap/>
            <w:vAlign w:val="center"/>
            <w:hideMark/>
          </w:tcPr>
          <w:p w14:paraId="7521C355" w14:textId="77777777"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7963.58</w:t>
            </w:r>
          </w:p>
        </w:tc>
      </w:tr>
      <w:tr w:rsidR="00A82B4B" w:rsidRPr="00A82B4B" w14:paraId="31E822E7" w14:textId="77777777" w:rsidTr="00721F13">
        <w:trPr>
          <w:trHeight w:val="290"/>
        </w:trPr>
        <w:tc>
          <w:tcPr>
            <w:tcW w:w="28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3275731" w14:textId="77777777" w:rsid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13=(11</w:t>
            </w:r>
          </w:p>
          <w:p w14:paraId="68485355" w14:textId="45539927" w:rsid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/12)</w:t>
            </w:r>
          </w:p>
          <w:p w14:paraId="22BDABBF" w14:textId="2EED7FB0" w:rsidR="00A82B4B" w:rsidRPr="00A82B4B" w:rsidRDefault="00A82B4B" w:rsidP="00A82B4B">
            <w:pPr>
              <w:spacing w:after="0" w:line="240" w:lineRule="auto"/>
              <w:jc w:val="center"/>
              <w:rPr>
                <w:rFonts w:ascii="Book Antiqua" w:eastAsia="Times New Roman" w:hAnsi="Book Antiqua" w:cs="Calibri"/>
                <w:color w:val="000000"/>
                <w:sz w:val="20"/>
                <w:szCs w:val="20"/>
                <w:lang w:eastAsia="en-IN"/>
              </w:rPr>
            </w:pPr>
            <w:r w:rsidRPr="00A82B4B">
              <w:rPr>
                <w:rFonts w:ascii="Book Antiqua" w:eastAsia="Times New Roman" w:hAnsi="Book Antiqua" w:cs="Calibri"/>
                <w:color w:val="000000"/>
                <w:sz w:val="20"/>
                <w:szCs w:val="20"/>
                <w:lang w:eastAsia="en-IN"/>
              </w:rPr>
              <w:t>X1000</w:t>
            </w:r>
          </w:p>
        </w:tc>
        <w:tc>
          <w:tcPr>
            <w:tcW w:w="3940" w:type="dxa"/>
            <w:tcBorders>
              <w:top w:val="nil"/>
              <w:left w:val="nil"/>
              <w:bottom w:val="single" w:sz="4" w:space="0" w:color="auto"/>
              <w:right w:val="single" w:sz="4" w:space="0" w:color="auto"/>
            </w:tcBorders>
            <w:shd w:val="clear" w:color="auto" w:fill="FFFFFF" w:themeFill="background1"/>
            <w:noWrap/>
            <w:vAlign w:val="center"/>
            <w:hideMark/>
          </w:tcPr>
          <w:p w14:paraId="61727F20" w14:textId="77777777" w:rsidR="00A82B4B" w:rsidRPr="00A82B4B" w:rsidRDefault="00A82B4B" w:rsidP="00A82B4B">
            <w:pPr>
              <w:spacing w:after="0" w:line="240" w:lineRule="auto"/>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Wheeling charges (Paise/Unit)</w:t>
            </w:r>
          </w:p>
        </w:tc>
        <w:tc>
          <w:tcPr>
            <w:tcW w:w="1885" w:type="dxa"/>
            <w:tcBorders>
              <w:top w:val="nil"/>
              <w:left w:val="nil"/>
              <w:bottom w:val="single" w:sz="4" w:space="0" w:color="auto"/>
              <w:right w:val="single" w:sz="4" w:space="0" w:color="auto"/>
            </w:tcBorders>
            <w:shd w:val="clear" w:color="auto" w:fill="FFFFFF" w:themeFill="background1"/>
            <w:noWrap/>
            <w:vAlign w:val="center"/>
            <w:hideMark/>
          </w:tcPr>
          <w:p w14:paraId="0083C612" w14:textId="0FF698AE"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p>
        </w:tc>
        <w:tc>
          <w:tcPr>
            <w:tcW w:w="1398" w:type="dxa"/>
            <w:tcBorders>
              <w:top w:val="nil"/>
              <w:left w:val="nil"/>
              <w:bottom w:val="single" w:sz="4" w:space="0" w:color="auto"/>
              <w:right w:val="single" w:sz="4" w:space="0" w:color="auto"/>
            </w:tcBorders>
            <w:shd w:val="clear" w:color="auto" w:fill="FFFFFF" w:themeFill="background1"/>
            <w:noWrap/>
            <w:vAlign w:val="center"/>
            <w:hideMark/>
          </w:tcPr>
          <w:p w14:paraId="5A52530A" w14:textId="024C04E9"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p>
        </w:tc>
        <w:tc>
          <w:tcPr>
            <w:tcW w:w="1105" w:type="dxa"/>
            <w:tcBorders>
              <w:top w:val="nil"/>
              <w:left w:val="nil"/>
              <w:bottom w:val="single" w:sz="4" w:space="0" w:color="auto"/>
              <w:right w:val="single" w:sz="4" w:space="0" w:color="auto"/>
            </w:tcBorders>
            <w:shd w:val="clear" w:color="auto" w:fill="FFFFFF" w:themeFill="background1"/>
            <w:noWrap/>
            <w:vAlign w:val="center"/>
            <w:hideMark/>
          </w:tcPr>
          <w:p w14:paraId="234890CF" w14:textId="77777777" w:rsidR="00A82B4B" w:rsidRPr="00A82B4B" w:rsidRDefault="00A82B4B" w:rsidP="00A82B4B">
            <w:pPr>
              <w:spacing w:after="0" w:line="240" w:lineRule="auto"/>
              <w:jc w:val="center"/>
              <w:rPr>
                <w:rFonts w:ascii="Book Antiqua" w:eastAsia="Times New Roman" w:hAnsi="Book Antiqua" w:cs="Calibri"/>
                <w:b/>
                <w:bCs/>
                <w:color w:val="000000"/>
                <w:sz w:val="20"/>
                <w:szCs w:val="20"/>
                <w:lang w:eastAsia="en-IN"/>
              </w:rPr>
            </w:pPr>
            <w:r w:rsidRPr="00A82B4B">
              <w:rPr>
                <w:rFonts w:ascii="Book Antiqua" w:eastAsia="Times New Roman" w:hAnsi="Book Antiqua" w:cs="Calibri"/>
                <w:b/>
                <w:bCs/>
                <w:color w:val="000000"/>
                <w:sz w:val="20"/>
                <w:szCs w:val="20"/>
                <w:lang w:eastAsia="en-IN"/>
              </w:rPr>
              <w:t>158</w:t>
            </w:r>
          </w:p>
        </w:tc>
      </w:tr>
      <w:tr w:rsidR="00A82B4B" w:rsidRPr="00A82B4B" w14:paraId="71C2DB6F" w14:textId="77777777" w:rsidTr="00A82B4B">
        <w:trPr>
          <w:trHeight w:val="680"/>
        </w:trPr>
        <w:tc>
          <w:tcPr>
            <w:tcW w:w="8614" w:type="dxa"/>
            <w:gridSpan w:val="5"/>
            <w:tcBorders>
              <w:top w:val="single" w:sz="4" w:space="0" w:color="auto"/>
              <w:left w:val="single" w:sz="4" w:space="0" w:color="auto"/>
              <w:bottom w:val="single" w:sz="4" w:space="0" w:color="auto"/>
              <w:right w:val="single" w:sz="4" w:space="0" w:color="auto"/>
            </w:tcBorders>
            <w:vAlign w:val="center"/>
            <w:hideMark/>
          </w:tcPr>
          <w:p w14:paraId="318FB942" w14:textId="77777777" w:rsidR="00A82B4B" w:rsidRPr="00A82B4B" w:rsidRDefault="00A82B4B" w:rsidP="00A82B4B">
            <w:pPr>
              <w:spacing w:after="0" w:line="240" w:lineRule="auto"/>
              <w:rPr>
                <w:rFonts w:ascii="Book Antiqua" w:eastAsia="Times New Roman" w:hAnsi="Book Antiqua" w:cs="Calibri"/>
                <w:i/>
                <w:iCs/>
                <w:color w:val="000000"/>
                <w:sz w:val="18"/>
                <w:szCs w:val="18"/>
                <w:lang w:eastAsia="en-IN"/>
              </w:rPr>
            </w:pPr>
            <w:r w:rsidRPr="00A82B4B">
              <w:rPr>
                <w:rFonts w:ascii="Book Antiqua" w:eastAsia="Times New Roman" w:hAnsi="Book Antiqua" w:cs="Calibri"/>
                <w:i/>
                <w:iCs/>
                <w:color w:val="000000"/>
                <w:sz w:val="18"/>
                <w:szCs w:val="18"/>
                <w:lang w:eastAsia="en-IN"/>
              </w:rPr>
              <w:t>* As Interest on Consumer Security Deposit is not considered under expenditure, interest income of Bank Deposits (on CSD amount) has also not been considered in non-tariff income.</w:t>
            </w:r>
          </w:p>
        </w:tc>
      </w:tr>
    </w:tbl>
    <w:p w14:paraId="356C0DF9" w14:textId="77777777" w:rsidR="00806E62" w:rsidRDefault="00806E62" w:rsidP="00DC7A4A">
      <w:pPr>
        <w:pStyle w:val="ListParagraph"/>
        <w:autoSpaceDE w:val="0"/>
        <w:autoSpaceDN w:val="0"/>
        <w:adjustRightInd w:val="0"/>
        <w:spacing w:beforeLines="50" w:before="120" w:after="0" w:line="240" w:lineRule="exact"/>
        <w:ind w:left="1559" w:right="414"/>
        <w:contextualSpacing w:val="0"/>
        <w:jc w:val="center"/>
        <w:rPr>
          <w:rFonts w:ascii="Book Antiqua" w:hAnsi="Book Antiqua" w:cstheme="minorHAnsi"/>
          <w:b/>
          <w:bCs/>
        </w:rPr>
      </w:pPr>
    </w:p>
    <w:p w14:paraId="7CA067BB" w14:textId="76B52971" w:rsidR="00B05118" w:rsidRDefault="0076141B"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sidRPr="0076141B">
        <w:rPr>
          <w:rFonts w:ascii="Book Antiqua" w:eastAsia="Calibri" w:hAnsi="Book Antiqua" w:cs="Arial"/>
        </w:rPr>
        <w:t>The Hon’ble Commission may kindly approve the wheeling charge that it thinks is the most appropriate and cost reflective against the computations shown in tables above.</w:t>
      </w:r>
    </w:p>
    <w:p w14:paraId="64CBE6E4" w14:textId="77777777" w:rsidR="0060494C" w:rsidRDefault="0060494C" w:rsidP="0060494C">
      <w:pPr>
        <w:autoSpaceDE w:val="0"/>
        <w:autoSpaceDN w:val="0"/>
        <w:adjustRightInd w:val="0"/>
        <w:spacing w:beforeLines="100" w:before="240" w:afterLines="100" w:after="240" w:line="360" w:lineRule="auto"/>
        <w:ind w:right="414"/>
        <w:jc w:val="both"/>
        <w:rPr>
          <w:rFonts w:ascii="Book Antiqua" w:eastAsia="Calibri" w:hAnsi="Book Antiqua" w:cs="Arial"/>
        </w:rPr>
      </w:pPr>
    </w:p>
    <w:p w14:paraId="32D118D1" w14:textId="77777777" w:rsidR="0060494C" w:rsidRDefault="0060494C" w:rsidP="0060494C">
      <w:pPr>
        <w:autoSpaceDE w:val="0"/>
        <w:autoSpaceDN w:val="0"/>
        <w:adjustRightInd w:val="0"/>
        <w:spacing w:beforeLines="100" w:before="240" w:afterLines="100" w:after="240" w:line="360" w:lineRule="auto"/>
        <w:ind w:right="414"/>
        <w:jc w:val="both"/>
        <w:rPr>
          <w:rFonts w:ascii="Book Antiqua" w:eastAsia="Calibri" w:hAnsi="Book Antiqua" w:cs="Arial"/>
        </w:rPr>
      </w:pPr>
    </w:p>
    <w:p w14:paraId="32092F94" w14:textId="77777777" w:rsidR="0060494C" w:rsidRPr="0060494C" w:rsidRDefault="0060494C" w:rsidP="0060494C">
      <w:pPr>
        <w:autoSpaceDE w:val="0"/>
        <w:autoSpaceDN w:val="0"/>
        <w:adjustRightInd w:val="0"/>
        <w:spacing w:beforeLines="100" w:before="240" w:afterLines="100" w:after="240" w:line="360" w:lineRule="auto"/>
        <w:ind w:right="414"/>
        <w:jc w:val="both"/>
        <w:rPr>
          <w:rFonts w:ascii="Book Antiqua" w:eastAsia="Calibri" w:hAnsi="Book Antiqua" w:cs="Arial"/>
        </w:rPr>
      </w:pPr>
    </w:p>
    <w:p w14:paraId="2B9782F8" w14:textId="55DD0F72" w:rsidR="00B05118" w:rsidRPr="007A7D1D" w:rsidRDefault="007A7D1D" w:rsidP="007A7D1D">
      <w:pPr>
        <w:pStyle w:val="ListParagraph"/>
        <w:numPr>
          <w:ilvl w:val="0"/>
          <w:numId w:val="10"/>
        </w:numPr>
        <w:autoSpaceDE w:val="0"/>
        <w:autoSpaceDN w:val="0"/>
        <w:adjustRightInd w:val="0"/>
        <w:spacing w:beforeLines="100" w:before="240" w:afterLines="100" w:after="240" w:line="360" w:lineRule="auto"/>
        <w:ind w:right="414"/>
        <w:contextualSpacing w:val="0"/>
        <w:jc w:val="both"/>
        <w:rPr>
          <w:rFonts w:ascii="Book Antiqua" w:eastAsia="Calibri" w:hAnsi="Book Antiqua" w:cs="Arial"/>
          <w:b/>
          <w:bCs/>
        </w:rPr>
      </w:pPr>
      <w:r w:rsidRPr="007A7D1D">
        <w:rPr>
          <w:rFonts w:ascii="Book Antiqua" w:eastAsia="Calibri" w:hAnsi="Book Antiqua" w:cs="Arial"/>
          <w:b/>
          <w:bCs/>
        </w:rPr>
        <w:lastRenderedPageBreak/>
        <w:t>Cross Subsidy Surcharge (CSS)</w:t>
      </w:r>
    </w:p>
    <w:p w14:paraId="77D7585E" w14:textId="64B18BC8" w:rsidR="00B05118" w:rsidRDefault="008B0D9F"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That, t</w:t>
      </w:r>
      <w:r w:rsidRPr="008B0D9F">
        <w:rPr>
          <w:rFonts w:ascii="Book Antiqua" w:eastAsia="Calibri" w:hAnsi="Book Antiqua" w:cs="Arial"/>
        </w:rPr>
        <w:t>he Hon’ble Commission had determined the CSS for EHT and HT Consumers in the Tariff Order. The relevant extracts from the Tariff Order with regards to determination of CSS for EHT and HT consumers is as follows:</w:t>
      </w:r>
    </w:p>
    <w:p w14:paraId="672B4572" w14:textId="77777777" w:rsidR="00FD7AD1" w:rsidRPr="00BD3373" w:rsidRDefault="00FD7AD1" w:rsidP="00FD7AD1">
      <w:pPr>
        <w:pStyle w:val="ListParagraph"/>
        <w:autoSpaceDE w:val="0"/>
        <w:autoSpaceDN w:val="0"/>
        <w:adjustRightInd w:val="0"/>
        <w:spacing w:beforeLines="100" w:before="240" w:afterLines="100" w:after="240" w:line="360" w:lineRule="auto"/>
        <w:ind w:left="1560" w:right="414"/>
        <w:jc w:val="both"/>
        <w:rPr>
          <w:rFonts w:ascii="Book Antiqua" w:eastAsia="Calibri" w:hAnsi="Book Antiqua" w:cs="Arial"/>
          <w:b/>
          <w:bCs/>
          <w:i/>
          <w:iCs/>
        </w:rPr>
      </w:pPr>
      <w:r w:rsidRPr="00BD3373">
        <w:rPr>
          <w:rFonts w:ascii="Book Antiqua" w:eastAsia="Calibri" w:hAnsi="Book Antiqua" w:cs="Arial"/>
          <w:b/>
          <w:bCs/>
          <w:i/>
          <w:iCs/>
        </w:rPr>
        <w:t xml:space="preserve">Open Access Charges (Cross Subsidy Surcharge and Wheeling Charges) </w:t>
      </w:r>
    </w:p>
    <w:p w14:paraId="3617CD01" w14:textId="570F501E" w:rsidR="00C13609" w:rsidRDefault="00FD7AD1" w:rsidP="00FD7AD1">
      <w:pPr>
        <w:pStyle w:val="ListParagraph"/>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i/>
          <w:iCs/>
        </w:rPr>
      </w:pPr>
      <w:r w:rsidRPr="00FD7AD1">
        <w:rPr>
          <w:rFonts w:ascii="Book Antiqua" w:eastAsia="Calibri" w:hAnsi="Book Antiqua" w:cs="Arial"/>
          <w:i/>
          <w:iCs/>
        </w:rPr>
        <w:t xml:space="preserve">153. The OERC (Terms and Conditions of Intra State Open Access) Regulations, 2020 was notified on 2nd November, 2020. The Commission has defined the methodology for determination of Open Access Charges in Chapter 5 of these Regulations. For determination of the Cross Subsidy Surcharge, the tariff for HT and EHT Consumers has been assumed at 100% load factor since Open Access </w:t>
      </w:r>
      <w:proofErr w:type="spellStart"/>
      <w:r w:rsidRPr="00FD7AD1">
        <w:rPr>
          <w:rFonts w:ascii="Book Antiqua" w:eastAsia="Calibri" w:hAnsi="Book Antiqua" w:cs="Arial"/>
          <w:i/>
          <w:iCs/>
        </w:rPr>
        <w:t>drawal</w:t>
      </w:r>
      <w:proofErr w:type="spellEnd"/>
      <w:r w:rsidRPr="00FD7AD1">
        <w:rPr>
          <w:rFonts w:ascii="Book Antiqua" w:eastAsia="Calibri" w:hAnsi="Book Antiqua" w:cs="Arial"/>
          <w:i/>
          <w:iCs/>
        </w:rPr>
        <w:t xml:space="preserve"> is made to utilise the full quantum of the power so availed. The formula prescribed in Regulation 23(2) of OERC (Terms and Conditions of Intra State Open Access) Regulations, 2020, which is as per the Tariff Policy, for determination of Cross Subsidy Surcharge is as follows:</w:t>
      </w:r>
    </w:p>
    <w:p w14:paraId="4CD506E6" w14:textId="2376907B" w:rsidR="003C1377" w:rsidRPr="00FD7AD1" w:rsidRDefault="003C1377" w:rsidP="003C1377">
      <w:pPr>
        <w:pStyle w:val="ListParagraph"/>
        <w:autoSpaceDE w:val="0"/>
        <w:autoSpaceDN w:val="0"/>
        <w:adjustRightInd w:val="0"/>
        <w:spacing w:beforeLines="100" w:before="240" w:afterLines="100" w:after="240" w:line="360" w:lineRule="auto"/>
        <w:ind w:left="1560" w:right="414"/>
        <w:contextualSpacing w:val="0"/>
        <w:jc w:val="center"/>
        <w:rPr>
          <w:rFonts w:ascii="Book Antiqua" w:eastAsia="Calibri" w:hAnsi="Book Antiqua" w:cs="Arial"/>
          <w:i/>
          <w:iCs/>
        </w:rPr>
      </w:pPr>
      <w:r w:rsidRPr="00675A01">
        <w:rPr>
          <w:noProof/>
          <w:lang w:eastAsia="en-IN"/>
        </w:rPr>
        <w:drawing>
          <wp:inline distT="0" distB="0" distL="0" distR="0" wp14:anchorId="169179E1" wp14:editId="0829F2A7">
            <wp:extent cx="4616687" cy="2178162"/>
            <wp:effectExtent l="0" t="0" r="0" b="0"/>
            <wp:docPr id="3" name="Picture 3" descr="A document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ocument with text on it&#10;&#10;AI-generated content may be incorrect."/>
                    <pic:cNvPicPr/>
                  </pic:nvPicPr>
                  <pic:blipFill>
                    <a:blip r:embed="rId12"/>
                    <a:stretch>
                      <a:fillRect/>
                    </a:stretch>
                  </pic:blipFill>
                  <pic:spPr>
                    <a:xfrm>
                      <a:off x="0" y="0"/>
                      <a:ext cx="4616687" cy="2178162"/>
                    </a:xfrm>
                    <a:prstGeom prst="rect">
                      <a:avLst/>
                    </a:prstGeom>
                  </pic:spPr>
                </pic:pic>
              </a:graphicData>
            </a:graphic>
          </wp:inline>
        </w:drawing>
      </w:r>
    </w:p>
    <w:p w14:paraId="5BA8681F" w14:textId="507D968D" w:rsidR="00C13609" w:rsidRPr="00205293" w:rsidRDefault="00205293" w:rsidP="00205293">
      <w:pPr>
        <w:pStyle w:val="ListParagraph"/>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i/>
          <w:iCs/>
        </w:rPr>
      </w:pPr>
      <w:r w:rsidRPr="00205293">
        <w:rPr>
          <w:rFonts w:ascii="Book Antiqua" w:eastAsia="Calibri" w:hAnsi="Book Antiqua" w:cs="Arial"/>
          <w:i/>
          <w:iCs/>
        </w:rPr>
        <w:t>154. As prevalent in the previous year, the Commission accepts ‘C’ equal to BSP of respective DISCOMs as explained above. Similarly, ‘T’ is the tariff at 100% load factor including demand charges for the respective voltage level. The wheeling charges ‘D’ is as determined from the distribution cost approved for the FY 2025-26 and ‘L’ is assumed 8% at HT and nil for EHT since EHT loss is accommodated in transmission charges</w:t>
      </w:r>
    </w:p>
    <w:p w14:paraId="6E1F186A" w14:textId="28C73FD7" w:rsidR="00C13609" w:rsidRDefault="00450895"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 xml:space="preserve">That, </w:t>
      </w:r>
      <w:r w:rsidR="004C04DC" w:rsidRPr="004C04DC">
        <w:rPr>
          <w:rFonts w:ascii="Book Antiqua" w:eastAsia="Calibri" w:hAnsi="Book Antiqua" w:cs="Arial"/>
        </w:rPr>
        <w:t xml:space="preserve">CSS is applicable to subsidising consumers. However not all category of consumers under LT category are subsidized consumers as their average tariff is more than Average cost of Supply. Hence, </w:t>
      </w:r>
      <w:r w:rsidR="007B102F">
        <w:rPr>
          <w:rFonts w:ascii="Book Antiqua" w:eastAsia="Calibri" w:hAnsi="Book Antiqua" w:cs="Arial"/>
        </w:rPr>
        <w:t>the Applicant</w:t>
      </w:r>
      <w:r w:rsidR="00C7507E">
        <w:rPr>
          <w:rFonts w:ascii="Book Antiqua" w:eastAsia="Calibri" w:hAnsi="Book Antiqua" w:cs="Arial"/>
        </w:rPr>
        <w:t xml:space="preserve"> has</w:t>
      </w:r>
      <w:r w:rsidR="004C04DC" w:rsidRPr="004C04DC">
        <w:rPr>
          <w:rFonts w:ascii="Book Antiqua" w:eastAsia="Calibri" w:hAnsi="Book Antiqua" w:cs="Arial"/>
        </w:rPr>
        <w:t xml:space="preserve"> computed tariff category wise CSS as provided in table below</w:t>
      </w:r>
      <w:r w:rsidR="006B55EA">
        <w:rPr>
          <w:rFonts w:ascii="Book Antiqua" w:eastAsia="Calibri" w:hAnsi="Book Antiqua" w:cs="Arial"/>
        </w:rPr>
        <w:t xml:space="preserve"> </w:t>
      </w:r>
      <w:r w:rsidR="00E96B4C" w:rsidRPr="00E96B4C">
        <w:rPr>
          <w:rFonts w:ascii="Book Antiqua" w:eastAsia="Calibri" w:hAnsi="Book Antiqua" w:cs="Arial"/>
        </w:rPr>
        <w:t xml:space="preserve">for consideration of the Hon’ble Commission. We request the Hon’ble Commission to approve the most cost </w:t>
      </w:r>
      <w:r w:rsidR="00E96B4C" w:rsidRPr="00E96B4C">
        <w:rPr>
          <w:rFonts w:ascii="Book Antiqua" w:eastAsia="Calibri" w:hAnsi="Book Antiqua" w:cs="Arial"/>
        </w:rPr>
        <w:lastRenderedPageBreak/>
        <w:t>reflective CSS so that the there is no additional burden on the retail consumers because of under recovery through CSS from open access consumers.</w:t>
      </w:r>
    </w:p>
    <w:p w14:paraId="79CE5564" w14:textId="36F3DBD4" w:rsidR="00DC424C" w:rsidRDefault="006077B6" w:rsidP="00A026A9">
      <w:pPr>
        <w:pStyle w:val="ListParagraph"/>
        <w:autoSpaceDE w:val="0"/>
        <w:autoSpaceDN w:val="0"/>
        <w:adjustRightInd w:val="0"/>
        <w:spacing w:beforeLines="100" w:before="240" w:afterLines="50" w:after="120" w:line="360" w:lineRule="auto"/>
        <w:ind w:left="1559" w:right="414"/>
        <w:jc w:val="center"/>
        <w:rPr>
          <w:rFonts w:ascii="Book Antiqua" w:hAnsi="Book Antiqua" w:cstheme="minorHAnsi"/>
          <w:b/>
          <w:bCs/>
        </w:rPr>
      </w:pPr>
      <w:r w:rsidRPr="006077B6">
        <w:rPr>
          <w:rFonts w:ascii="Book Antiqua" w:hAnsi="Book Antiqua" w:cstheme="minorHAnsi"/>
          <w:b/>
          <w:bCs/>
        </w:rPr>
        <w:t xml:space="preserve">Table </w:t>
      </w:r>
      <w:r w:rsidR="00DD4D6B">
        <w:rPr>
          <w:rFonts w:ascii="Book Antiqua" w:hAnsi="Book Antiqua" w:cstheme="minorHAnsi"/>
          <w:b/>
          <w:bCs/>
        </w:rPr>
        <w:t>3</w:t>
      </w:r>
      <w:r w:rsidRPr="006077B6">
        <w:rPr>
          <w:rFonts w:ascii="Book Antiqua" w:hAnsi="Book Antiqua" w:cstheme="minorHAnsi"/>
          <w:b/>
          <w:bCs/>
        </w:rPr>
        <w:t>: Working of Cross Subsidy Surcharge for LT Consumers</w:t>
      </w:r>
      <w:r w:rsidR="00DC424C">
        <w:rPr>
          <w:rFonts w:ascii="Book Antiqua" w:hAnsi="Book Antiqua" w:cstheme="minorHAnsi"/>
          <w:b/>
          <w:bCs/>
        </w:rPr>
        <w:t xml:space="preserve"> </w:t>
      </w:r>
    </w:p>
    <w:p w14:paraId="2A786308" w14:textId="59E2EEC5" w:rsidR="006077B6" w:rsidRDefault="00DC424C" w:rsidP="000B73CF">
      <w:pPr>
        <w:pStyle w:val="ListParagraph"/>
        <w:autoSpaceDE w:val="0"/>
        <w:autoSpaceDN w:val="0"/>
        <w:adjustRightInd w:val="0"/>
        <w:spacing w:beforeLines="100" w:before="240" w:afterLines="50" w:after="120" w:line="360" w:lineRule="auto"/>
        <w:ind w:left="993" w:right="-153"/>
        <w:jc w:val="center"/>
        <w:rPr>
          <w:rFonts w:ascii="Book Antiqua" w:hAnsi="Book Antiqua" w:cstheme="minorHAnsi"/>
          <w:b/>
          <w:bCs/>
        </w:rPr>
      </w:pPr>
      <w:r w:rsidRPr="00DC424C">
        <w:rPr>
          <w:rFonts w:ascii="Book Antiqua" w:hAnsi="Book Antiqua" w:cstheme="minorHAnsi"/>
          <w:b/>
          <w:bCs/>
        </w:rPr>
        <w:t>(Based on Wheeling Charges</w:t>
      </w:r>
      <w:r w:rsidR="00073567">
        <w:rPr>
          <w:rFonts w:ascii="Book Antiqua" w:hAnsi="Book Antiqua" w:cstheme="minorHAnsi"/>
          <w:b/>
          <w:bCs/>
        </w:rPr>
        <w:t>/loss</w:t>
      </w:r>
      <w:r w:rsidR="00564A2B">
        <w:rPr>
          <w:rFonts w:ascii="Book Antiqua" w:hAnsi="Book Antiqua" w:cstheme="minorHAnsi"/>
          <w:b/>
          <w:bCs/>
        </w:rPr>
        <w:t xml:space="preserve">es </w:t>
      </w:r>
      <w:r w:rsidRPr="00DC424C">
        <w:rPr>
          <w:rFonts w:ascii="Book Antiqua" w:hAnsi="Book Antiqua" w:cstheme="minorHAnsi"/>
          <w:b/>
          <w:bCs/>
        </w:rPr>
        <w:t xml:space="preserve">computed in Table </w:t>
      </w:r>
      <w:r w:rsidR="00564A2B">
        <w:rPr>
          <w:rFonts w:ascii="Book Antiqua" w:hAnsi="Book Antiqua" w:cstheme="minorHAnsi"/>
          <w:b/>
          <w:bCs/>
        </w:rPr>
        <w:t xml:space="preserve">1-A &amp; </w:t>
      </w:r>
      <w:r w:rsidRPr="00DC424C">
        <w:rPr>
          <w:rFonts w:ascii="Book Antiqua" w:hAnsi="Book Antiqua" w:cstheme="minorHAnsi"/>
          <w:b/>
          <w:bCs/>
        </w:rPr>
        <w:t xml:space="preserve">3-A on proposed </w:t>
      </w:r>
      <w:r w:rsidR="00564A2B">
        <w:rPr>
          <w:rFonts w:ascii="Book Antiqua" w:hAnsi="Book Antiqua" w:cstheme="minorHAnsi"/>
          <w:b/>
          <w:bCs/>
        </w:rPr>
        <w:t xml:space="preserve">fig. </w:t>
      </w:r>
      <w:r w:rsidRPr="00DC424C">
        <w:rPr>
          <w:rFonts w:ascii="Book Antiqua" w:hAnsi="Book Antiqua" w:cstheme="minorHAnsi"/>
          <w:b/>
          <w:bCs/>
        </w:rPr>
        <w:t>in ARR)</w:t>
      </w:r>
    </w:p>
    <w:p w14:paraId="717E0A99" w14:textId="2E2B44DC" w:rsidR="006077B6" w:rsidRPr="006077B6" w:rsidRDefault="00DD4D6B" w:rsidP="00C86774">
      <w:pPr>
        <w:pStyle w:val="ListParagraph"/>
        <w:autoSpaceDE w:val="0"/>
        <w:autoSpaceDN w:val="0"/>
        <w:adjustRightInd w:val="0"/>
        <w:spacing w:beforeLines="100" w:before="240" w:afterLines="100" w:after="240" w:line="360" w:lineRule="auto"/>
        <w:ind w:left="567" w:right="414"/>
        <w:contextualSpacing w:val="0"/>
        <w:jc w:val="center"/>
        <w:rPr>
          <w:rFonts w:ascii="Book Antiqua" w:hAnsi="Book Antiqua" w:cstheme="minorHAnsi"/>
          <w:b/>
          <w:bCs/>
        </w:rPr>
      </w:pPr>
      <w:r w:rsidRPr="00DD4D6B">
        <w:drawing>
          <wp:inline distT="0" distB="0" distL="0" distR="0" wp14:anchorId="5D6E1DB2" wp14:editId="211A55AF">
            <wp:extent cx="6383655" cy="3629660"/>
            <wp:effectExtent l="0" t="0" r="0" b="8890"/>
            <wp:docPr id="11668182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83655" cy="3629660"/>
                    </a:xfrm>
                    <a:prstGeom prst="rect">
                      <a:avLst/>
                    </a:prstGeom>
                    <a:noFill/>
                    <a:ln>
                      <a:noFill/>
                    </a:ln>
                  </pic:spPr>
                </pic:pic>
              </a:graphicData>
            </a:graphic>
          </wp:inline>
        </w:drawing>
      </w:r>
    </w:p>
    <w:p w14:paraId="7165654A" w14:textId="4575D1BD" w:rsidR="00AF42C1" w:rsidRDefault="00AF42C1" w:rsidP="00AF42C1">
      <w:pPr>
        <w:pStyle w:val="ListParagraph"/>
        <w:numPr>
          <w:ilvl w:val="0"/>
          <w:numId w:val="10"/>
        </w:numPr>
        <w:autoSpaceDE w:val="0"/>
        <w:autoSpaceDN w:val="0"/>
        <w:adjustRightInd w:val="0"/>
        <w:spacing w:beforeLines="100" w:before="240" w:afterLines="100" w:after="240" w:line="360" w:lineRule="auto"/>
        <w:ind w:right="414"/>
        <w:contextualSpacing w:val="0"/>
        <w:jc w:val="both"/>
        <w:rPr>
          <w:rFonts w:ascii="Book Antiqua" w:eastAsia="Calibri" w:hAnsi="Book Antiqua" w:cs="Arial"/>
          <w:b/>
          <w:bCs/>
        </w:rPr>
      </w:pPr>
      <w:r w:rsidRPr="00AF42C1">
        <w:rPr>
          <w:rFonts w:ascii="Book Antiqua" w:eastAsia="Calibri" w:hAnsi="Book Antiqua" w:cs="Arial"/>
          <w:b/>
          <w:bCs/>
        </w:rPr>
        <w:t>Summary of applicable charges for LT Open Access consumers</w:t>
      </w:r>
    </w:p>
    <w:p w14:paraId="49797A0F" w14:textId="7C9B893D" w:rsidR="00C13609" w:rsidRDefault="00BE0393"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 xml:space="preserve">That, </w:t>
      </w:r>
      <w:r w:rsidR="00711C86">
        <w:rPr>
          <w:rFonts w:ascii="Book Antiqua" w:eastAsia="Calibri" w:hAnsi="Book Antiqua" w:cs="Arial"/>
        </w:rPr>
        <w:t>b</w:t>
      </w:r>
      <w:r w:rsidR="00711C86" w:rsidRPr="00711C86">
        <w:rPr>
          <w:rFonts w:ascii="Book Antiqua" w:eastAsia="Calibri" w:hAnsi="Book Antiqua" w:cs="Arial"/>
        </w:rPr>
        <w:t>ased on the computations provided in the earlier tables, the summary of the various charges proposed to be made applicable to LT Consumers who take power under LT Green Open Access is as summarized in the table below:</w:t>
      </w:r>
    </w:p>
    <w:p w14:paraId="1FB41232" w14:textId="121ED2EF" w:rsidR="00527FCF" w:rsidRDefault="00527FCF" w:rsidP="00527FCF">
      <w:pPr>
        <w:pStyle w:val="ListParagraph"/>
        <w:autoSpaceDE w:val="0"/>
        <w:autoSpaceDN w:val="0"/>
        <w:adjustRightInd w:val="0"/>
        <w:spacing w:beforeLines="100" w:before="240" w:afterLines="100" w:after="240" w:line="360" w:lineRule="auto"/>
        <w:ind w:left="1560" w:right="414"/>
        <w:contextualSpacing w:val="0"/>
        <w:jc w:val="center"/>
        <w:rPr>
          <w:rFonts w:ascii="Book Antiqua" w:hAnsi="Book Antiqua"/>
          <w:b/>
          <w:bCs/>
        </w:rPr>
      </w:pPr>
      <w:r w:rsidRPr="00527FCF">
        <w:rPr>
          <w:rFonts w:ascii="Book Antiqua" w:hAnsi="Book Antiqua" w:cstheme="minorHAnsi"/>
          <w:b/>
          <w:bCs/>
        </w:rPr>
        <w:t xml:space="preserve">Table </w:t>
      </w:r>
      <w:r w:rsidR="00DD4D6B">
        <w:rPr>
          <w:rFonts w:ascii="Book Antiqua" w:hAnsi="Book Antiqua" w:cstheme="minorHAnsi"/>
          <w:b/>
          <w:bCs/>
        </w:rPr>
        <w:t>4</w:t>
      </w:r>
      <w:r w:rsidRPr="00527FCF">
        <w:rPr>
          <w:rFonts w:ascii="Book Antiqua" w:hAnsi="Book Antiqua" w:cstheme="minorHAnsi"/>
          <w:b/>
          <w:bCs/>
        </w:rPr>
        <w:t xml:space="preserve">: Summary of </w:t>
      </w:r>
      <w:r w:rsidRPr="00527FCF">
        <w:rPr>
          <w:rFonts w:ascii="Book Antiqua" w:hAnsi="Book Antiqua"/>
          <w:b/>
          <w:bCs/>
        </w:rPr>
        <w:t>Charges for LT Open Access Consumers</w:t>
      </w:r>
    </w:p>
    <w:tbl>
      <w:tblPr>
        <w:tblW w:w="6526" w:type="dxa"/>
        <w:jc w:val="center"/>
        <w:tblLook w:val="04A0" w:firstRow="1" w:lastRow="0" w:firstColumn="1" w:lastColumn="0" w:noHBand="0" w:noVBand="1"/>
      </w:tblPr>
      <w:tblGrid>
        <w:gridCol w:w="680"/>
        <w:gridCol w:w="1920"/>
        <w:gridCol w:w="1326"/>
        <w:gridCol w:w="2600"/>
      </w:tblGrid>
      <w:tr w:rsidR="00515194" w:rsidRPr="000D7EB5" w14:paraId="7B34E1F5" w14:textId="24C7CADC" w:rsidTr="00DE0E0B">
        <w:trPr>
          <w:trHeight w:val="290"/>
          <w:jc w:val="center"/>
        </w:trPr>
        <w:tc>
          <w:tcPr>
            <w:tcW w:w="68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6F578060" w14:textId="77777777" w:rsidR="00515194" w:rsidRPr="000D7EB5" w:rsidRDefault="00515194" w:rsidP="000D7EB5">
            <w:pPr>
              <w:spacing w:after="0" w:line="240" w:lineRule="auto"/>
              <w:jc w:val="center"/>
              <w:rPr>
                <w:rFonts w:ascii="Book Antiqua" w:eastAsia="Times New Roman" w:hAnsi="Book Antiqua" w:cs="Calibri"/>
                <w:b/>
                <w:bCs/>
                <w:color w:val="000000"/>
                <w:lang w:eastAsia="en-IN"/>
              </w:rPr>
            </w:pPr>
            <w:r w:rsidRPr="000D7EB5">
              <w:rPr>
                <w:rFonts w:ascii="Book Antiqua" w:eastAsia="Times New Roman" w:hAnsi="Book Antiqua" w:cs="Calibri"/>
                <w:b/>
                <w:bCs/>
                <w:color w:val="000000"/>
                <w:lang w:eastAsia="en-IN"/>
              </w:rPr>
              <w:t>Sr No</w:t>
            </w:r>
          </w:p>
        </w:tc>
        <w:tc>
          <w:tcPr>
            <w:tcW w:w="1920" w:type="dxa"/>
            <w:tcBorders>
              <w:top w:val="single" w:sz="4" w:space="0" w:color="auto"/>
              <w:left w:val="nil"/>
              <w:bottom w:val="single" w:sz="4" w:space="0" w:color="auto"/>
              <w:right w:val="single" w:sz="4" w:space="0" w:color="auto"/>
            </w:tcBorders>
            <w:shd w:val="clear" w:color="000000" w:fill="BDD7EE"/>
            <w:noWrap/>
            <w:vAlign w:val="center"/>
            <w:hideMark/>
          </w:tcPr>
          <w:p w14:paraId="0AE4D286" w14:textId="77777777" w:rsidR="00515194" w:rsidRPr="000D7EB5" w:rsidRDefault="00515194" w:rsidP="000D7EB5">
            <w:pPr>
              <w:spacing w:after="0" w:line="240" w:lineRule="auto"/>
              <w:rPr>
                <w:rFonts w:ascii="Book Antiqua" w:eastAsia="Times New Roman" w:hAnsi="Book Antiqua" w:cs="Calibri"/>
                <w:b/>
                <w:bCs/>
                <w:color w:val="000000"/>
                <w:lang w:eastAsia="en-IN"/>
              </w:rPr>
            </w:pPr>
            <w:r w:rsidRPr="000D7EB5">
              <w:rPr>
                <w:rFonts w:ascii="Book Antiqua" w:eastAsia="Times New Roman" w:hAnsi="Book Antiqua" w:cs="Calibri"/>
                <w:b/>
                <w:bCs/>
                <w:color w:val="000000"/>
                <w:lang w:eastAsia="en-IN"/>
              </w:rPr>
              <w:t>Particulars</w:t>
            </w:r>
          </w:p>
        </w:tc>
        <w:tc>
          <w:tcPr>
            <w:tcW w:w="1326" w:type="dxa"/>
            <w:tcBorders>
              <w:top w:val="single" w:sz="4" w:space="0" w:color="auto"/>
              <w:left w:val="nil"/>
              <w:bottom w:val="single" w:sz="4" w:space="0" w:color="auto"/>
              <w:right w:val="single" w:sz="4" w:space="0" w:color="auto"/>
            </w:tcBorders>
            <w:shd w:val="clear" w:color="000000" w:fill="BDD7EE"/>
            <w:noWrap/>
            <w:vAlign w:val="center"/>
            <w:hideMark/>
          </w:tcPr>
          <w:p w14:paraId="076D04AC" w14:textId="77777777" w:rsidR="00515194" w:rsidRPr="000D7EB5" w:rsidRDefault="00515194" w:rsidP="000D7EB5">
            <w:pPr>
              <w:spacing w:after="0" w:line="240" w:lineRule="auto"/>
              <w:jc w:val="center"/>
              <w:rPr>
                <w:rFonts w:ascii="Book Antiqua" w:eastAsia="Times New Roman" w:hAnsi="Book Antiqua" w:cs="Calibri"/>
                <w:b/>
                <w:bCs/>
                <w:color w:val="000000"/>
                <w:lang w:eastAsia="en-IN"/>
              </w:rPr>
            </w:pPr>
            <w:r w:rsidRPr="000D7EB5">
              <w:rPr>
                <w:rFonts w:ascii="Book Antiqua" w:eastAsia="Times New Roman" w:hAnsi="Book Antiqua" w:cs="Calibri"/>
                <w:b/>
                <w:bCs/>
                <w:color w:val="000000"/>
                <w:lang w:eastAsia="en-IN"/>
              </w:rPr>
              <w:t>Unit</w:t>
            </w:r>
          </w:p>
        </w:tc>
        <w:tc>
          <w:tcPr>
            <w:tcW w:w="2600" w:type="dxa"/>
            <w:tcBorders>
              <w:top w:val="single" w:sz="4" w:space="0" w:color="auto"/>
              <w:left w:val="nil"/>
              <w:bottom w:val="single" w:sz="4" w:space="0" w:color="auto"/>
              <w:right w:val="single" w:sz="4" w:space="0" w:color="auto"/>
            </w:tcBorders>
            <w:shd w:val="clear" w:color="000000" w:fill="BDD7EE"/>
            <w:noWrap/>
            <w:vAlign w:val="center"/>
            <w:hideMark/>
          </w:tcPr>
          <w:p w14:paraId="7C58F17A" w14:textId="77777777" w:rsidR="00515194" w:rsidRPr="000D7EB5" w:rsidRDefault="00515194" w:rsidP="000D7EB5">
            <w:pPr>
              <w:spacing w:after="0" w:line="240" w:lineRule="auto"/>
              <w:jc w:val="center"/>
              <w:rPr>
                <w:rFonts w:ascii="Book Antiqua" w:eastAsia="Times New Roman" w:hAnsi="Book Antiqua" w:cs="Calibri"/>
                <w:b/>
                <w:bCs/>
                <w:color w:val="000000"/>
                <w:lang w:eastAsia="en-IN"/>
              </w:rPr>
            </w:pPr>
            <w:r w:rsidRPr="000D7EB5">
              <w:rPr>
                <w:rFonts w:ascii="Book Antiqua" w:eastAsia="Times New Roman" w:hAnsi="Book Antiqua" w:cs="Calibri"/>
                <w:b/>
                <w:bCs/>
                <w:color w:val="000000"/>
                <w:lang w:eastAsia="en-IN"/>
              </w:rPr>
              <w:t>TPWODL</w:t>
            </w:r>
          </w:p>
        </w:tc>
      </w:tr>
      <w:tr w:rsidR="00526772" w:rsidRPr="000D7EB5" w14:paraId="7A04EE8A" w14:textId="77777777" w:rsidTr="00DE0E0B">
        <w:trPr>
          <w:trHeight w:val="1010"/>
          <w:jc w:val="center"/>
        </w:trPr>
        <w:tc>
          <w:tcPr>
            <w:tcW w:w="680" w:type="dxa"/>
            <w:tcBorders>
              <w:top w:val="nil"/>
              <w:left w:val="single" w:sz="4" w:space="0" w:color="auto"/>
              <w:bottom w:val="single" w:sz="4" w:space="0" w:color="000000"/>
              <w:right w:val="single" w:sz="4" w:space="0" w:color="auto"/>
            </w:tcBorders>
            <w:vAlign w:val="center"/>
            <w:hideMark/>
          </w:tcPr>
          <w:p w14:paraId="36CD71F6" w14:textId="77777777" w:rsidR="00526772" w:rsidRPr="000D7EB5" w:rsidRDefault="00526772"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1</w:t>
            </w:r>
          </w:p>
        </w:tc>
        <w:tc>
          <w:tcPr>
            <w:tcW w:w="1920" w:type="dxa"/>
            <w:tcBorders>
              <w:top w:val="nil"/>
              <w:left w:val="single" w:sz="4" w:space="0" w:color="auto"/>
              <w:bottom w:val="single" w:sz="4" w:space="0" w:color="000000"/>
              <w:right w:val="single" w:sz="4" w:space="0" w:color="auto"/>
            </w:tcBorders>
            <w:noWrap/>
            <w:vAlign w:val="center"/>
            <w:hideMark/>
          </w:tcPr>
          <w:p w14:paraId="0299AAE2" w14:textId="77777777" w:rsidR="00526772" w:rsidRPr="000D7EB5" w:rsidRDefault="00526772"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Wheeling Losses</w:t>
            </w:r>
          </w:p>
        </w:tc>
        <w:tc>
          <w:tcPr>
            <w:tcW w:w="1326" w:type="dxa"/>
            <w:tcBorders>
              <w:top w:val="nil"/>
              <w:left w:val="single" w:sz="4" w:space="0" w:color="auto"/>
              <w:bottom w:val="single" w:sz="4" w:space="0" w:color="000000"/>
              <w:right w:val="single" w:sz="4" w:space="0" w:color="auto"/>
            </w:tcBorders>
            <w:noWrap/>
            <w:vAlign w:val="center"/>
            <w:hideMark/>
          </w:tcPr>
          <w:p w14:paraId="5C3D62A3" w14:textId="77777777" w:rsidR="00526772" w:rsidRPr="000D7EB5" w:rsidRDefault="00526772"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w:t>
            </w:r>
          </w:p>
        </w:tc>
        <w:tc>
          <w:tcPr>
            <w:tcW w:w="2600" w:type="dxa"/>
            <w:tcBorders>
              <w:top w:val="nil"/>
              <w:left w:val="nil"/>
              <w:right w:val="single" w:sz="4" w:space="0" w:color="auto"/>
            </w:tcBorders>
            <w:noWrap/>
            <w:vAlign w:val="center"/>
            <w:hideMark/>
          </w:tcPr>
          <w:p w14:paraId="39FDEC72" w14:textId="11F4903D" w:rsidR="00526772" w:rsidRPr="000D7EB5" w:rsidRDefault="00526772" w:rsidP="000D7EB5">
            <w:pPr>
              <w:spacing w:after="0" w:line="240" w:lineRule="auto"/>
              <w:jc w:val="center"/>
              <w:rPr>
                <w:rFonts w:ascii="Book Antiqua" w:eastAsia="Times New Roman" w:hAnsi="Book Antiqua" w:cs="Calibri"/>
                <w:color w:val="000000"/>
                <w:lang w:eastAsia="en-IN"/>
              </w:rPr>
            </w:pPr>
            <w:r>
              <w:rPr>
                <w:rFonts w:ascii="Book Antiqua" w:eastAsia="Times New Roman" w:hAnsi="Book Antiqua" w:cs="Calibri"/>
                <w:color w:val="000000"/>
                <w:lang w:eastAsia="en-IN"/>
              </w:rPr>
              <w:t>29</w:t>
            </w:r>
            <w:r w:rsidRPr="000D7EB5">
              <w:rPr>
                <w:rFonts w:ascii="Book Antiqua" w:eastAsia="Times New Roman" w:hAnsi="Book Antiqua" w:cs="Calibri"/>
                <w:color w:val="000000"/>
                <w:lang w:eastAsia="en-IN"/>
              </w:rPr>
              <w:t>%</w:t>
            </w:r>
          </w:p>
        </w:tc>
      </w:tr>
      <w:tr w:rsidR="00526772" w:rsidRPr="000D7EB5" w14:paraId="3FFEB00B" w14:textId="77777777" w:rsidTr="00DA7298">
        <w:trPr>
          <w:trHeight w:val="770"/>
          <w:jc w:val="center"/>
        </w:trPr>
        <w:tc>
          <w:tcPr>
            <w:tcW w:w="680" w:type="dxa"/>
            <w:tcBorders>
              <w:top w:val="nil"/>
              <w:left w:val="single" w:sz="4" w:space="0" w:color="auto"/>
              <w:bottom w:val="single" w:sz="4" w:space="0" w:color="000000"/>
              <w:right w:val="single" w:sz="4" w:space="0" w:color="auto"/>
            </w:tcBorders>
            <w:noWrap/>
            <w:vAlign w:val="center"/>
            <w:hideMark/>
          </w:tcPr>
          <w:p w14:paraId="0FFDD1EA" w14:textId="77777777" w:rsidR="00526772" w:rsidRPr="000D7EB5" w:rsidRDefault="00526772"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2</w:t>
            </w:r>
          </w:p>
        </w:tc>
        <w:tc>
          <w:tcPr>
            <w:tcW w:w="1920" w:type="dxa"/>
            <w:tcBorders>
              <w:top w:val="nil"/>
              <w:left w:val="single" w:sz="4" w:space="0" w:color="auto"/>
              <w:bottom w:val="single" w:sz="4" w:space="0" w:color="000000"/>
              <w:right w:val="single" w:sz="4" w:space="0" w:color="auto"/>
            </w:tcBorders>
            <w:noWrap/>
            <w:vAlign w:val="center"/>
            <w:hideMark/>
          </w:tcPr>
          <w:p w14:paraId="176AB190" w14:textId="77777777" w:rsidR="00526772" w:rsidRPr="000D7EB5" w:rsidRDefault="00526772" w:rsidP="002F2ED8">
            <w:pPr>
              <w:spacing w:after="0" w:line="240" w:lineRule="auto"/>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Wheeling Charges</w:t>
            </w:r>
          </w:p>
        </w:tc>
        <w:tc>
          <w:tcPr>
            <w:tcW w:w="1326" w:type="dxa"/>
            <w:tcBorders>
              <w:top w:val="nil"/>
              <w:left w:val="single" w:sz="4" w:space="0" w:color="auto"/>
              <w:bottom w:val="single" w:sz="4" w:space="0" w:color="000000"/>
              <w:right w:val="single" w:sz="4" w:space="0" w:color="auto"/>
            </w:tcBorders>
            <w:noWrap/>
            <w:vAlign w:val="center"/>
            <w:hideMark/>
          </w:tcPr>
          <w:p w14:paraId="732A9396" w14:textId="3E752C23" w:rsidR="00526772" w:rsidRPr="000D7EB5" w:rsidRDefault="00526772"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Paise</w:t>
            </w:r>
            <w:r>
              <w:rPr>
                <w:rFonts w:ascii="Book Antiqua" w:eastAsia="Times New Roman" w:hAnsi="Book Antiqua" w:cs="Calibri"/>
                <w:color w:val="000000"/>
                <w:lang w:eastAsia="en-IN"/>
              </w:rPr>
              <w:t>/</w:t>
            </w:r>
            <w:r w:rsidRPr="000D7EB5">
              <w:rPr>
                <w:rFonts w:ascii="Book Antiqua" w:eastAsia="Times New Roman" w:hAnsi="Book Antiqua" w:cs="Calibri"/>
                <w:color w:val="000000"/>
                <w:lang w:eastAsia="en-IN"/>
              </w:rPr>
              <w:t>kWh</w:t>
            </w:r>
          </w:p>
        </w:tc>
        <w:tc>
          <w:tcPr>
            <w:tcW w:w="2600" w:type="dxa"/>
            <w:tcBorders>
              <w:top w:val="nil"/>
              <w:left w:val="nil"/>
              <w:right w:val="single" w:sz="4" w:space="0" w:color="auto"/>
            </w:tcBorders>
            <w:shd w:val="clear" w:color="auto" w:fill="FFFFFF" w:themeFill="background1"/>
            <w:noWrap/>
            <w:vAlign w:val="center"/>
            <w:hideMark/>
          </w:tcPr>
          <w:p w14:paraId="436CDD20" w14:textId="413B61B9" w:rsidR="00526772" w:rsidRPr="001A7F15" w:rsidRDefault="00DA7298" w:rsidP="000D7EB5">
            <w:pPr>
              <w:spacing w:after="0" w:line="240" w:lineRule="auto"/>
              <w:jc w:val="center"/>
              <w:rPr>
                <w:rFonts w:ascii="Book Antiqua" w:eastAsia="Times New Roman" w:hAnsi="Book Antiqua" w:cs="Calibri"/>
                <w:color w:val="000000"/>
                <w:highlight w:val="yellow"/>
                <w:lang w:eastAsia="en-IN"/>
              </w:rPr>
            </w:pPr>
            <w:r w:rsidRPr="00DA7298">
              <w:rPr>
                <w:rFonts w:ascii="Book Antiqua" w:eastAsia="Times New Roman" w:hAnsi="Book Antiqua" w:cs="Calibri"/>
                <w:color w:val="000000"/>
                <w:lang w:eastAsia="en-IN"/>
              </w:rPr>
              <w:t>158</w:t>
            </w:r>
          </w:p>
        </w:tc>
      </w:tr>
      <w:tr w:rsidR="00515194" w:rsidRPr="000D7EB5" w14:paraId="775FD21A" w14:textId="77777777" w:rsidTr="00DE0E0B">
        <w:trPr>
          <w:trHeight w:val="720"/>
          <w:jc w:val="center"/>
        </w:trPr>
        <w:tc>
          <w:tcPr>
            <w:tcW w:w="680" w:type="dxa"/>
            <w:tcBorders>
              <w:top w:val="nil"/>
              <w:left w:val="single" w:sz="4" w:space="0" w:color="auto"/>
              <w:bottom w:val="single" w:sz="4" w:space="0" w:color="auto"/>
              <w:right w:val="single" w:sz="4" w:space="0" w:color="auto"/>
            </w:tcBorders>
            <w:noWrap/>
            <w:vAlign w:val="center"/>
            <w:hideMark/>
          </w:tcPr>
          <w:p w14:paraId="7FCA4B2F" w14:textId="77777777" w:rsidR="00515194" w:rsidRPr="000D7EB5" w:rsidRDefault="00515194"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3</w:t>
            </w:r>
          </w:p>
        </w:tc>
        <w:tc>
          <w:tcPr>
            <w:tcW w:w="1920" w:type="dxa"/>
            <w:tcBorders>
              <w:top w:val="nil"/>
              <w:left w:val="nil"/>
              <w:bottom w:val="single" w:sz="4" w:space="0" w:color="auto"/>
              <w:right w:val="single" w:sz="4" w:space="0" w:color="auto"/>
            </w:tcBorders>
            <w:noWrap/>
            <w:vAlign w:val="center"/>
            <w:hideMark/>
          </w:tcPr>
          <w:p w14:paraId="0EB3366D" w14:textId="77777777" w:rsidR="00515194" w:rsidRPr="000D7EB5" w:rsidRDefault="00515194" w:rsidP="000D7EB5">
            <w:pPr>
              <w:spacing w:after="0" w:line="240" w:lineRule="auto"/>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CSS</w:t>
            </w:r>
          </w:p>
        </w:tc>
        <w:tc>
          <w:tcPr>
            <w:tcW w:w="1326" w:type="dxa"/>
            <w:tcBorders>
              <w:top w:val="nil"/>
              <w:left w:val="nil"/>
              <w:bottom w:val="single" w:sz="4" w:space="0" w:color="auto"/>
              <w:right w:val="single" w:sz="4" w:space="0" w:color="auto"/>
            </w:tcBorders>
            <w:noWrap/>
            <w:vAlign w:val="center"/>
            <w:hideMark/>
          </w:tcPr>
          <w:p w14:paraId="0C3BA547" w14:textId="302B04E5" w:rsidR="00515194" w:rsidRPr="000D7EB5" w:rsidRDefault="00515194" w:rsidP="000D7EB5">
            <w:pPr>
              <w:spacing w:after="0" w:line="240" w:lineRule="auto"/>
              <w:jc w:val="center"/>
              <w:rPr>
                <w:rFonts w:ascii="Book Antiqua" w:eastAsia="Times New Roman" w:hAnsi="Book Antiqua" w:cs="Calibri"/>
                <w:color w:val="000000"/>
                <w:lang w:eastAsia="en-IN"/>
              </w:rPr>
            </w:pPr>
            <w:r w:rsidRPr="000D7EB5">
              <w:rPr>
                <w:rFonts w:ascii="Book Antiqua" w:eastAsia="Times New Roman" w:hAnsi="Book Antiqua" w:cs="Calibri"/>
                <w:color w:val="000000"/>
                <w:lang w:eastAsia="en-IN"/>
              </w:rPr>
              <w:t>Paise</w:t>
            </w:r>
            <w:r>
              <w:rPr>
                <w:rFonts w:ascii="Book Antiqua" w:eastAsia="Times New Roman" w:hAnsi="Book Antiqua" w:cs="Calibri"/>
                <w:color w:val="000000"/>
                <w:lang w:eastAsia="en-IN"/>
              </w:rPr>
              <w:t>/</w:t>
            </w:r>
            <w:r w:rsidRPr="000D7EB5">
              <w:rPr>
                <w:rFonts w:ascii="Book Antiqua" w:eastAsia="Times New Roman" w:hAnsi="Book Antiqua" w:cs="Calibri"/>
                <w:color w:val="000000"/>
                <w:lang w:eastAsia="en-IN"/>
              </w:rPr>
              <w:t>kWh</w:t>
            </w:r>
          </w:p>
        </w:tc>
        <w:tc>
          <w:tcPr>
            <w:tcW w:w="2600" w:type="dxa"/>
            <w:tcBorders>
              <w:top w:val="nil"/>
              <w:left w:val="nil"/>
              <w:bottom w:val="single" w:sz="4" w:space="0" w:color="auto"/>
              <w:right w:val="single" w:sz="4" w:space="0" w:color="auto"/>
            </w:tcBorders>
            <w:vAlign w:val="center"/>
            <w:hideMark/>
          </w:tcPr>
          <w:p w14:paraId="674058AD" w14:textId="57481950" w:rsidR="00515194" w:rsidRPr="001A7F15" w:rsidRDefault="00515194" w:rsidP="000D7EB5">
            <w:pPr>
              <w:spacing w:after="0" w:line="240" w:lineRule="auto"/>
              <w:jc w:val="center"/>
              <w:rPr>
                <w:rFonts w:ascii="Book Antiqua" w:eastAsia="Times New Roman" w:hAnsi="Book Antiqua" w:cs="Calibri"/>
                <w:color w:val="000000"/>
                <w:sz w:val="18"/>
                <w:szCs w:val="18"/>
                <w:highlight w:val="yellow"/>
                <w:lang w:eastAsia="en-IN"/>
              </w:rPr>
            </w:pPr>
            <w:r w:rsidRPr="002457CD">
              <w:rPr>
                <w:rFonts w:ascii="Book Antiqua" w:eastAsia="Times New Roman" w:hAnsi="Book Antiqua" w:cs="Calibri"/>
                <w:color w:val="000000"/>
                <w:sz w:val="18"/>
                <w:szCs w:val="18"/>
                <w:lang w:eastAsia="en-IN"/>
              </w:rPr>
              <w:t xml:space="preserve">As computed at table </w:t>
            </w:r>
            <w:r w:rsidR="00526772" w:rsidRPr="002457CD">
              <w:rPr>
                <w:rFonts w:ascii="Book Antiqua" w:eastAsia="Times New Roman" w:hAnsi="Book Antiqua" w:cs="Calibri"/>
                <w:color w:val="000000"/>
                <w:sz w:val="18"/>
                <w:szCs w:val="18"/>
                <w:lang w:eastAsia="en-IN"/>
              </w:rPr>
              <w:t>3</w:t>
            </w:r>
            <w:r w:rsidRPr="002457CD">
              <w:rPr>
                <w:rFonts w:ascii="Book Antiqua" w:eastAsia="Times New Roman" w:hAnsi="Book Antiqua" w:cs="Calibri"/>
                <w:color w:val="000000"/>
                <w:sz w:val="18"/>
                <w:szCs w:val="18"/>
                <w:lang w:eastAsia="en-IN"/>
              </w:rPr>
              <w:t xml:space="preserve"> (based on above wheeling charge &amp; loss)</w:t>
            </w:r>
          </w:p>
        </w:tc>
      </w:tr>
    </w:tbl>
    <w:p w14:paraId="6E1721CB" w14:textId="77777777" w:rsidR="009D0E5C" w:rsidRDefault="009D0E5C" w:rsidP="009D0E5C">
      <w:pPr>
        <w:pStyle w:val="ListParagraph"/>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p>
    <w:p w14:paraId="2E041F93" w14:textId="77777777" w:rsidR="00DD4D6B" w:rsidRDefault="00DD4D6B" w:rsidP="009D0E5C">
      <w:pPr>
        <w:pStyle w:val="ListParagraph"/>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p>
    <w:p w14:paraId="718C2D17" w14:textId="77777777" w:rsidR="00DD4D6B" w:rsidRDefault="00DD4D6B" w:rsidP="009D0E5C">
      <w:pPr>
        <w:pStyle w:val="ListParagraph"/>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p>
    <w:p w14:paraId="498304AA" w14:textId="1197229A" w:rsidR="00A80D53" w:rsidRPr="00A80D53" w:rsidRDefault="00A80D53" w:rsidP="00CB51F2">
      <w:pPr>
        <w:pStyle w:val="ListParagraph"/>
        <w:numPr>
          <w:ilvl w:val="4"/>
          <w:numId w:val="9"/>
        </w:numPr>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r w:rsidRPr="00A80D53">
        <w:rPr>
          <w:rFonts w:ascii="Book Antiqua" w:eastAsia="Calibri" w:hAnsi="Book Antiqua" w:cs="Arial"/>
          <w:b/>
          <w:bCs/>
        </w:rPr>
        <w:t xml:space="preserve">Other Charges </w:t>
      </w:r>
    </w:p>
    <w:p w14:paraId="11D9B1C6" w14:textId="5C81041F" w:rsidR="00C13609" w:rsidRDefault="000305F9"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 xml:space="preserve">That, </w:t>
      </w:r>
      <w:r w:rsidR="003D55B6">
        <w:rPr>
          <w:rFonts w:ascii="Book Antiqua" w:eastAsia="Calibri" w:hAnsi="Book Antiqua" w:cs="Arial"/>
        </w:rPr>
        <w:t>the c</w:t>
      </w:r>
      <w:r w:rsidRPr="000305F9">
        <w:rPr>
          <w:rFonts w:ascii="Book Antiqua" w:eastAsia="Calibri" w:hAnsi="Book Antiqua" w:cs="Arial"/>
        </w:rPr>
        <w:t>harges, other than what is provided at Table-</w:t>
      </w:r>
      <w:r w:rsidR="00DD4D6B">
        <w:rPr>
          <w:rFonts w:ascii="Book Antiqua" w:eastAsia="Calibri" w:hAnsi="Book Antiqua" w:cs="Arial"/>
        </w:rPr>
        <w:t>4</w:t>
      </w:r>
      <w:r w:rsidRPr="000305F9">
        <w:rPr>
          <w:rFonts w:ascii="Book Antiqua" w:eastAsia="Calibri" w:hAnsi="Book Antiqua" w:cs="Arial"/>
        </w:rPr>
        <w:t xml:space="preserve"> </w:t>
      </w:r>
      <w:r w:rsidR="00373517" w:rsidRPr="000305F9">
        <w:rPr>
          <w:rFonts w:ascii="Book Antiqua" w:eastAsia="Calibri" w:hAnsi="Book Antiqua" w:cs="Arial"/>
        </w:rPr>
        <w:t>above, that</w:t>
      </w:r>
      <w:r w:rsidRPr="000305F9">
        <w:rPr>
          <w:rFonts w:ascii="Book Antiqua" w:eastAsia="Calibri" w:hAnsi="Book Antiqua" w:cs="Arial"/>
        </w:rPr>
        <w:t xml:space="preserve"> needs to be applied by D</w:t>
      </w:r>
      <w:r w:rsidR="00030600">
        <w:rPr>
          <w:rFonts w:ascii="Book Antiqua" w:eastAsia="Calibri" w:hAnsi="Book Antiqua" w:cs="Arial"/>
        </w:rPr>
        <w:t>ISCOM</w:t>
      </w:r>
      <w:r w:rsidRPr="000305F9">
        <w:rPr>
          <w:rFonts w:ascii="Book Antiqua" w:eastAsia="Calibri" w:hAnsi="Book Antiqua" w:cs="Arial"/>
        </w:rPr>
        <w:t xml:space="preserve"> on the LT Consumers taking Open Access are ‘Standby Charges’ and ‘Banking Charges’.</w:t>
      </w:r>
    </w:p>
    <w:p w14:paraId="10EE6408" w14:textId="787A93E7" w:rsidR="00C13609" w:rsidRDefault="00C36141" w:rsidP="00A266C3">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That, i</w:t>
      </w:r>
      <w:r w:rsidRPr="00C36141">
        <w:rPr>
          <w:rFonts w:ascii="Book Antiqua" w:eastAsia="Calibri" w:hAnsi="Book Antiqua" w:cs="Arial"/>
        </w:rPr>
        <w:t xml:space="preserve">t is submitted that necessary mechanisms </w:t>
      </w:r>
      <w:r w:rsidR="00B6219B" w:rsidRPr="00C36141">
        <w:rPr>
          <w:rFonts w:ascii="Book Antiqua" w:eastAsia="Calibri" w:hAnsi="Book Antiqua" w:cs="Arial"/>
        </w:rPr>
        <w:t>have</w:t>
      </w:r>
      <w:r w:rsidRPr="00C36141">
        <w:rPr>
          <w:rFonts w:ascii="Book Antiqua" w:eastAsia="Calibri" w:hAnsi="Book Antiqua" w:cs="Arial"/>
        </w:rPr>
        <w:t xml:space="preserve"> already been stipulated in the Green Open Access Regulations, 2023 and same shall be applied by TP</w:t>
      </w:r>
      <w:r>
        <w:rPr>
          <w:rFonts w:ascii="Book Antiqua" w:eastAsia="Calibri" w:hAnsi="Book Antiqua" w:cs="Arial"/>
        </w:rPr>
        <w:t>W</w:t>
      </w:r>
      <w:r w:rsidRPr="00C36141">
        <w:rPr>
          <w:rFonts w:ascii="Book Antiqua" w:eastAsia="Calibri" w:hAnsi="Book Antiqua" w:cs="Arial"/>
        </w:rPr>
        <w:t>ODL on Consumer availing Open Access at LT level</w:t>
      </w:r>
    </w:p>
    <w:p w14:paraId="6178328B" w14:textId="77777777" w:rsidR="00D17750" w:rsidRPr="00D17750" w:rsidRDefault="00D17750" w:rsidP="00D17750">
      <w:pPr>
        <w:pStyle w:val="ListParagraph"/>
        <w:numPr>
          <w:ilvl w:val="4"/>
          <w:numId w:val="9"/>
        </w:numPr>
        <w:autoSpaceDE w:val="0"/>
        <w:autoSpaceDN w:val="0"/>
        <w:adjustRightInd w:val="0"/>
        <w:spacing w:beforeLines="100" w:before="240" w:afterLines="100" w:after="240" w:line="360" w:lineRule="auto"/>
        <w:ind w:left="709" w:right="414"/>
        <w:contextualSpacing w:val="0"/>
        <w:jc w:val="both"/>
        <w:rPr>
          <w:rFonts w:ascii="Book Antiqua" w:eastAsia="Calibri" w:hAnsi="Book Antiqua" w:cs="Arial"/>
          <w:b/>
          <w:bCs/>
        </w:rPr>
      </w:pPr>
      <w:r w:rsidRPr="00D17750">
        <w:rPr>
          <w:rFonts w:ascii="Book Antiqua" w:eastAsia="Calibri" w:hAnsi="Book Antiqua" w:cs="Arial"/>
          <w:b/>
          <w:bCs/>
        </w:rPr>
        <w:t>Other related matters for the consideration of the Hon’ble Commission</w:t>
      </w:r>
    </w:p>
    <w:p w14:paraId="760AAEFA" w14:textId="55E7AFD2" w:rsidR="00145455" w:rsidRPr="00145455" w:rsidRDefault="00145455" w:rsidP="00145455">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 xml:space="preserve">That, </w:t>
      </w:r>
      <w:r w:rsidRPr="00145455">
        <w:rPr>
          <w:rFonts w:ascii="Book Antiqua" w:eastAsia="Calibri" w:hAnsi="Book Antiqua" w:cs="Arial"/>
        </w:rPr>
        <w:t xml:space="preserve">The OERC (Conditions of Supply), Code, 2019 at para 134 stipulates that the LT supply can be provided up to 70 kVA. However, in the Retail Supply Tariff Order there are certain Tariff categories which have load &gt; 70 kVA ( e.g. L.T. Industrial (M) Supply &gt;=22 KVA &amp; &lt;110 KVA, Public Water Works and Sewerage Pumping &gt;=110 KVA, General Purpose &gt;= 110 KVA, Large </w:t>
      </w:r>
      <w:r w:rsidR="00BC3D62" w:rsidRPr="00145455">
        <w:rPr>
          <w:rFonts w:ascii="Book Antiqua" w:eastAsia="Calibri" w:hAnsi="Book Antiqua" w:cs="Arial"/>
        </w:rPr>
        <w:t>Industry &gt;</w:t>
      </w:r>
      <w:r w:rsidRPr="00145455">
        <w:rPr>
          <w:rFonts w:ascii="Book Antiqua" w:eastAsia="Calibri" w:hAnsi="Book Antiqua" w:cs="Arial"/>
        </w:rPr>
        <w:t>= 110 KVA). The Green Open Access Regulations,2023 stipulates open access for contract demand or sanctioned load of 100 kW or above (either through single or multiple connection). In view of this inconsistency, a suitable clarification from the Hon’ble Commission will make the things clear.</w:t>
      </w:r>
    </w:p>
    <w:p w14:paraId="1D5BAFE9" w14:textId="31E26491" w:rsidR="00D17750" w:rsidRDefault="00145455" w:rsidP="00145455">
      <w:pPr>
        <w:pStyle w:val="ListParagraph"/>
        <w:numPr>
          <w:ilvl w:val="0"/>
          <w:numId w:val="1"/>
        </w:numPr>
        <w:autoSpaceDE w:val="0"/>
        <w:autoSpaceDN w:val="0"/>
        <w:adjustRightInd w:val="0"/>
        <w:spacing w:beforeLines="100" w:before="240" w:afterLines="100" w:after="240" w:line="360" w:lineRule="auto"/>
        <w:ind w:left="1560" w:right="414"/>
        <w:contextualSpacing w:val="0"/>
        <w:jc w:val="both"/>
        <w:rPr>
          <w:rFonts w:ascii="Book Antiqua" w:eastAsia="Calibri" w:hAnsi="Book Antiqua" w:cs="Arial"/>
        </w:rPr>
      </w:pPr>
      <w:r>
        <w:rPr>
          <w:rFonts w:ascii="Book Antiqua" w:eastAsia="Calibri" w:hAnsi="Book Antiqua" w:cs="Arial"/>
        </w:rPr>
        <w:t>That, f</w:t>
      </w:r>
      <w:r w:rsidRPr="00145455">
        <w:rPr>
          <w:rFonts w:ascii="Book Antiqua" w:eastAsia="Calibri" w:hAnsi="Book Antiqua" w:cs="Arial"/>
        </w:rPr>
        <w:t>urther, there may be certain connection given to LT consumers at HT level depending on the system feasibility.  Given, the fact that there will not be any CSS applicable to certain LT consumers taking Green Power on open access, it may happen that some existing connections currently given power at LT may approach for conversation to HT. It is our submission that such conversion may not be allowed at present.</w:t>
      </w:r>
    </w:p>
    <w:p w14:paraId="57E7D8AE" w14:textId="77777777" w:rsidR="009B7288" w:rsidRDefault="009B7288" w:rsidP="009B7288">
      <w:pPr>
        <w:autoSpaceDE w:val="0"/>
        <w:autoSpaceDN w:val="0"/>
        <w:adjustRightInd w:val="0"/>
        <w:spacing w:beforeLines="100" w:before="240" w:afterLines="100" w:after="240" w:line="360" w:lineRule="auto"/>
        <w:ind w:right="414"/>
        <w:jc w:val="both"/>
        <w:rPr>
          <w:rFonts w:ascii="Book Antiqua" w:eastAsia="Calibri" w:hAnsi="Book Antiqua" w:cs="Arial"/>
        </w:rPr>
      </w:pPr>
    </w:p>
    <w:p w14:paraId="18FC2377" w14:textId="77777777" w:rsidR="009B7288" w:rsidRPr="009B7288" w:rsidRDefault="009B7288" w:rsidP="009B7288">
      <w:pPr>
        <w:autoSpaceDE w:val="0"/>
        <w:autoSpaceDN w:val="0"/>
        <w:adjustRightInd w:val="0"/>
        <w:spacing w:beforeLines="100" w:before="240" w:afterLines="100" w:after="240" w:line="360" w:lineRule="auto"/>
        <w:ind w:right="414"/>
        <w:jc w:val="both"/>
        <w:rPr>
          <w:rFonts w:ascii="Book Antiqua" w:eastAsia="Calibri" w:hAnsi="Book Antiqua" w:cs="Arial"/>
        </w:rPr>
      </w:pPr>
    </w:p>
    <w:p w14:paraId="34A7258F" w14:textId="77777777" w:rsidR="006A528E" w:rsidRPr="006A528E" w:rsidRDefault="006A528E" w:rsidP="006A528E">
      <w:pPr>
        <w:pStyle w:val="ListParagraph"/>
        <w:autoSpaceDE w:val="0"/>
        <w:autoSpaceDN w:val="0"/>
        <w:adjustRightInd w:val="0"/>
        <w:spacing w:beforeLines="100" w:before="240" w:afterLines="100" w:after="240" w:line="360" w:lineRule="auto"/>
        <w:ind w:left="1560" w:right="414"/>
        <w:jc w:val="center"/>
        <w:rPr>
          <w:rFonts w:ascii="Book Antiqua" w:eastAsia="Calibri" w:hAnsi="Book Antiqua" w:cs="Arial"/>
          <w:b/>
          <w:bCs/>
        </w:rPr>
      </w:pPr>
      <w:r w:rsidRPr="006A528E">
        <w:rPr>
          <w:rFonts w:ascii="Book Antiqua" w:eastAsia="Calibri" w:hAnsi="Book Antiqua" w:cs="Arial"/>
          <w:b/>
          <w:bCs/>
        </w:rPr>
        <w:lastRenderedPageBreak/>
        <w:t>Prayers</w:t>
      </w:r>
    </w:p>
    <w:p w14:paraId="6559F331" w14:textId="252FD89E" w:rsidR="006A528E" w:rsidRDefault="006A528E" w:rsidP="009D0E5C">
      <w:pPr>
        <w:pStyle w:val="ListParagraph"/>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6A528E">
        <w:rPr>
          <w:rFonts w:ascii="Book Antiqua" w:eastAsia="Calibri" w:hAnsi="Book Antiqua" w:cs="Arial"/>
        </w:rPr>
        <w:t>TP</w:t>
      </w:r>
      <w:r>
        <w:rPr>
          <w:rFonts w:ascii="Book Antiqua" w:eastAsia="Calibri" w:hAnsi="Book Antiqua" w:cs="Arial"/>
        </w:rPr>
        <w:t>W</w:t>
      </w:r>
      <w:r w:rsidRPr="006A528E">
        <w:rPr>
          <w:rFonts w:ascii="Book Antiqua" w:eastAsia="Calibri" w:hAnsi="Book Antiqua" w:cs="Arial"/>
        </w:rPr>
        <w:t>ODL prays that the Hon’ble Commission may kindly be pleased to:</w:t>
      </w:r>
    </w:p>
    <w:p w14:paraId="628F3B1B" w14:textId="77777777" w:rsidR="005747A9" w:rsidRDefault="005747A9"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5747A9">
        <w:rPr>
          <w:rFonts w:ascii="Book Antiqua" w:eastAsia="Calibri" w:hAnsi="Book Antiqua" w:cs="Arial"/>
        </w:rPr>
        <w:t xml:space="preserve">Admit the Application </w:t>
      </w:r>
    </w:p>
    <w:p w14:paraId="1631CF33" w14:textId="417CFAFC" w:rsidR="00226742" w:rsidRDefault="006A528E"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5747A9">
        <w:rPr>
          <w:rFonts w:ascii="Book Antiqua" w:eastAsia="Calibri" w:hAnsi="Book Antiqua" w:cs="Arial"/>
        </w:rPr>
        <w:t xml:space="preserve">Approve the Applicable Charges for LT Consumers taking power on open access as </w:t>
      </w:r>
      <w:r w:rsidR="00FE23DF">
        <w:rPr>
          <w:rFonts w:ascii="Book Antiqua" w:eastAsia="Calibri" w:hAnsi="Book Antiqua" w:cs="Arial"/>
        </w:rPr>
        <w:t>proposed</w:t>
      </w:r>
      <w:r w:rsidRPr="005747A9">
        <w:rPr>
          <w:rFonts w:ascii="Book Antiqua" w:eastAsia="Calibri" w:hAnsi="Book Antiqua" w:cs="Arial"/>
        </w:rPr>
        <w:t xml:space="preserve"> in </w:t>
      </w:r>
      <w:r w:rsidR="005747A9" w:rsidRPr="005747A9">
        <w:rPr>
          <w:rFonts w:ascii="Book Antiqua" w:eastAsia="Calibri" w:hAnsi="Book Antiqua" w:cs="Arial"/>
        </w:rPr>
        <w:t>Table</w:t>
      </w:r>
      <w:r w:rsidR="00B6335A">
        <w:rPr>
          <w:rFonts w:ascii="Book Antiqua" w:eastAsia="Calibri" w:hAnsi="Book Antiqua" w:cs="Arial"/>
        </w:rPr>
        <w:t xml:space="preserve"> </w:t>
      </w:r>
      <w:r w:rsidR="00DD3E0F">
        <w:rPr>
          <w:rFonts w:ascii="Book Antiqua" w:eastAsia="Calibri" w:hAnsi="Book Antiqua" w:cs="Arial"/>
        </w:rPr>
        <w:t>4</w:t>
      </w:r>
      <w:r w:rsidRPr="005747A9">
        <w:rPr>
          <w:rFonts w:ascii="Book Antiqua" w:eastAsia="Calibri" w:hAnsi="Book Antiqua" w:cs="Arial"/>
        </w:rPr>
        <w:t>.</w:t>
      </w:r>
    </w:p>
    <w:p w14:paraId="130825CB" w14:textId="4EACA5B0" w:rsidR="00374CD1" w:rsidRDefault="00292DD7"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292DD7">
        <w:rPr>
          <w:rFonts w:ascii="Book Antiqua" w:eastAsia="Calibri" w:hAnsi="Book Antiqua" w:cs="Arial"/>
        </w:rPr>
        <w:t xml:space="preserve">Issue necessary clarification and direction with regards to the matter discussed in Section </w:t>
      </w:r>
      <w:r w:rsidR="00605B5D">
        <w:rPr>
          <w:rFonts w:ascii="Book Antiqua" w:eastAsia="Calibri" w:hAnsi="Book Antiqua" w:cs="Arial"/>
        </w:rPr>
        <w:t>D</w:t>
      </w:r>
      <w:r w:rsidRPr="00292DD7">
        <w:rPr>
          <w:rFonts w:ascii="Book Antiqua" w:eastAsia="Calibri" w:hAnsi="Book Antiqua" w:cs="Arial"/>
        </w:rPr>
        <w:t xml:space="preserve"> of this petition.</w:t>
      </w:r>
    </w:p>
    <w:p w14:paraId="4953F7E0" w14:textId="77777777" w:rsidR="00374CD1" w:rsidRDefault="006A528E"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374CD1">
        <w:rPr>
          <w:rFonts w:ascii="Book Antiqua" w:eastAsia="Calibri" w:hAnsi="Book Antiqua" w:cs="Arial"/>
        </w:rPr>
        <w:t>Grant any other relief as deemed fit and proper in the facts and circumstances of the case.</w:t>
      </w:r>
    </w:p>
    <w:p w14:paraId="7B4BAC5C" w14:textId="6D5DFA30" w:rsidR="006A528E" w:rsidRPr="00374CD1" w:rsidRDefault="006A528E"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sidRPr="00374CD1">
        <w:rPr>
          <w:rFonts w:ascii="Book Antiqua" w:eastAsia="Calibri" w:hAnsi="Book Antiqua" w:cs="Arial"/>
        </w:rPr>
        <w:t>Any other direction as the Hon’ble Commission may think appropriate</w:t>
      </w:r>
    </w:p>
    <w:p w14:paraId="3F354F32" w14:textId="09C590AB" w:rsidR="00C75BC1" w:rsidRPr="00FF2D40" w:rsidRDefault="00CC53AC" w:rsidP="009D0E5C">
      <w:pPr>
        <w:pStyle w:val="ListParagraph"/>
        <w:numPr>
          <w:ilvl w:val="0"/>
          <w:numId w:val="8"/>
        </w:numPr>
        <w:autoSpaceDE w:val="0"/>
        <w:autoSpaceDN w:val="0"/>
        <w:adjustRightInd w:val="0"/>
        <w:spacing w:beforeLines="100" w:before="240" w:afterLines="100" w:after="240" w:line="480" w:lineRule="auto"/>
        <w:ind w:left="1559" w:right="414"/>
        <w:jc w:val="both"/>
        <w:rPr>
          <w:rFonts w:ascii="Book Antiqua" w:eastAsia="Calibri" w:hAnsi="Book Antiqua" w:cs="Arial"/>
        </w:rPr>
      </w:pPr>
      <w:r>
        <w:rPr>
          <w:rFonts w:ascii="Book Antiqua" w:eastAsia="Calibri" w:hAnsi="Book Antiqua" w:cs="Arial"/>
        </w:rPr>
        <w:t xml:space="preserve">That, </w:t>
      </w:r>
      <w:r w:rsidR="001C4E5B" w:rsidRPr="00FF2D40">
        <w:rPr>
          <w:rFonts w:ascii="Book Antiqua" w:eastAsia="Calibri" w:hAnsi="Book Antiqua" w:cs="Arial"/>
        </w:rPr>
        <w:t>TPWODL craves leave of Hon’ble Commission towards submission of further submission/reply as and when required.</w:t>
      </w:r>
    </w:p>
    <w:p w14:paraId="3252F50C" w14:textId="77777777" w:rsidR="001332CD" w:rsidRDefault="001332CD" w:rsidP="00374CD1">
      <w:pPr>
        <w:autoSpaceDE w:val="0"/>
        <w:autoSpaceDN w:val="0"/>
        <w:adjustRightInd w:val="0"/>
        <w:spacing w:line="360" w:lineRule="auto"/>
        <w:ind w:left="7200" w:firstLine="720"/>
        <w:rPr>
          <w:rFonts w:ascii="Book Antiqua" w:hAnsi="Book Antiqua" w:cs="Arial"/>
          <w:bCs/>
        </w:rPr>
      </w:pPr>
    </w:p>
    <w:p w14:paraId="78B4F922" w14:textId="77777777" w:rsidR="005344B5" w:rsidRDefault="005344B5" w:rsidP="00374CD1">
      <w:pPr>
        <w:autoSpaceDE w:val="0"/>
        <w:autoSpaceDN w:val="0"/>
        <w:adjustRightInd w:val="0"/>
        <w:spacing w:line="360" w:lineRule="auto"/>
        <w:ind w:left="7200" w:firstLine="720"/>
        <w:rPr>
          <w:rFonts w:ascii="Book Antiqua" w:hAnsi="Book Antiqua" w:cs="Arial"/>
          <w:bCs/>
        </w:rPr>
      </w:pPr>
    </w:p>
    <w:p w14:paraId="5FE85E49" w14:textId="65EF9D34" w:rsidR="00481D50" w:rsidRDefault="001332CD" w:rsidP="001332CD">
      <w:pPr>
        <w:autoSpaceDE w:val="0"/>
        <w:autoSpaceDN w:val="0"/>
        <w:adjustRightInd w:val="0"/>
        <w:spacing w:line="360" w:lineRule="auto"/>
        <w:ind w:left="1560"/>
        <w:jc w:val="both"/>
        <w:rPr>
          <w:rFonts w:ascii="Book Antiqua" w:hAnsi="Book Antiqua" w:cs="Arial"/>
          <w:bCs/>
        </w:rPr>
      </w:pPr>
      <w:r w:rsidRPr="00EF5837">
        <w:rPr>
          <w:rFonts w:ascii="Book Antiqua" w:hAnsi="Book Antiqua" w:cs="Arial"/>
          <w:bCs/>
        </w:rPr>
        <w:t>Place:</w:t>
      </w:r>
      <w:r w:rsidR="00424CCA">
        <w:rPr>
          <w:rFonts w:ascii="Book Antiqua" w:hAnsi="Book Antiqua" w:cs="Arial"/>
          <w:bCs/>
        </w:rPr>
        <w:t xml:space="preserve">                   </w:t>
      </w:r>
      <w:r>
        <w:rPr>
          <w:rFonts w:ascii="Book Antiqua" w:hAnsi="Book Antiqua" w:cs="Arial"/>
          <w:bCs/>
        </w:rPr>
        <w:t xml:space="preserve">                                                                          </w:t>
      </w:r>
      <w:r w:rsidR="00424CCA">
        <w:rPr>
          <w:rFonts w:ascii="Book Antiqua" w:hAnsi="Book Antiqua" w:cs="Arial"/>
          <w:bCs/>
        </w:rPr>
        <w:t>Deponent</w:t>
      </w:r>
    </w:p>
    <w:p w14:paraId="5A4F3C7D" w14:textId="6A308611" w:rsidR="001332CD" w:rsidRPr="00EF5837" w:rsidRDefault="001332CD" w:rsidP="001332CD">
      <w:pPr>
        <w:autoSpaceDE w:val="0"/>
        <w:autoSpaceDN w:val="0"/>
        <w:adjustRightInd w:val="0"/>
        <w:spacing w:line="360" w:lineRule="auto"/>
        <w:ind w:left="1560"/>
        <w:jc w:val="both"/>
        <w:rPr>
          <w:rFonts w:ascii="Book Antiqua" w:hAnsi="Book Antiqua" w:cs="Arial"/>
          <w:bCs/>
        </w:rPr>
      </w:pPr>
      <w:r w:rsidRPr="001332CD">
        <w:rPr>
          <w:rFonts w:ascii="Book Antiqua" w:hAnsi="Book Antiqua" w:cs="Arial"/>
          <w:bCs/>
        </w:rPr>
        <w:t>Date:</w:t>
      </w:r>
      <w:r w:rsidR="005344B5">
        <w:rPr>
          <w:rFonts w:ascii="Book Antiqua" w:hAnsi="Book Antiqua" w:cs="Arial"/>
          <w:bCs/>
        </w:rPr>
        <w:t xml:space="preserve"> </w:t>
      </w:r>
    </w:p>
    <w:sectPr w:rsidR="001332CD" w:rsidRPr="00EF5837" w:rsidSect="00B9745E">
      <w:pgSz w:w="11906" w:h="16838"/>
      <w:pgMar w:top="993" w:right="1133" w:bottom="156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CDD49" w14:textId="77777777" w:rsidR="009477E5" w:rsidRDefault="009477E5" w:rsidP="00B910C9">
      <w:pPr>
        <w:spacing w:after="0" w:line="240" w:lineRule="auto"/>
      </w:pPr>
      <w:r>
        <w:separator/>
      </w:r>
    </w:p>
  </w:endnote>
  <w:endnote w:type="continuationSeparator" w:id="0">
    <w:p w14:paraId="1481B5FF" w14:textId="77777777" w:rsidR="009477E5" w:rsidRDefault="009477E5" w:rsidP="00B91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F083C" w14:textId="77777777" w:rsidR="009477E5" w:rsidRDefault="009477E5" w:rsidP="00B910C9">
      <w:pPr>
        <w:spacing w:after="0" w:line="240" w:lineRule="auto"/>
      </w:pPr>
      <w:r>
        <w:separator/>
      </w:r>
    </w:p>
  </w:footnote>
  <w:footnote w:type="continuationSeparator" w:id="0">
    <w:p w14:paraId="70D0F1C6" w14:textId="77777777" w:rsidR="009477E5" w:rsidRDefault="009477E5" w:rsidP="00B91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13C5B"/>
    <w:multiLevelType w:val="hybridMultilevel"/>
    <w:tmpl w:val="FC444CBE"/>
    <w:lvl w:ilvl="0" w:tplc="FFFFFFFF">
      <w:start w:val="1"/>
      <w:numFmt w:val="decimal"/>
      <w:lvlText w:val="%1."/>
      <w:lvlJc w:val="left"/>
      <w:pPr>
        <w:ind w:left="720" w:hanging="360"/>
      </w:pPr>
      <w:rPr>
        <w:rFonts w:eastAsiaTheme="minorHAnsi" w:hint="default"/>
        <w:b w:val="0"/>
        <w:bCs/>
        <w:i w:val="0"/>
        <w:i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6A74AA"/>
    <w:multiLevelType w:val="hybridMultilevel"/>
    <w:tmpl w:val="B88C8A74"/>
    <w:lvl w:ilvl="0" w:tplc="FFFFFFFF">
      <w:start w:val="1"/>
      <w:numFmt w:val="decimal"/>
      <w:lvlText w:val="%1."/>
      <w:lvlJc w:val="left"/>
      <w:pPr>
        <w:ind w:left="720" w:hanging="360"/>
      </w:pPr>
      <w:rPr>
        <w:rFonts w:eastAsiaTheme="minorHAnsi" w:hint="default"/>
        <w:b w:val="0"/>
        <w:bCs/>
        <w:i w:val="0"/>
        <w:i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265238"/>
    <w:multiLevelType w:val="hybridMultilevel"/>
    <w:tmpl w:val="0BF2BCB8"/>
    <w:lvl w:ilvl="0" w:tplc="40090015">
      <w:start w:val="1"/>
      <w:numFmt w:val="upp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5">
      <w:start w:val="1"/>
      <w:numFmt w:val="upp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BA2529E"/>
    <w:multiLevelType w:val="multilevel"/>
    <w:tmpl w:val="F2B6CA2A"/>
    <w:lvl w:ilvl="0">
      <w:start w:val="1"/>
      <w:numFmt w:val="decimal"/>
      <w:lvlText w:val="%1."/>
      <w:lvlJc w:val="left"/>
      <w:pPr>
        <w:ind w:left="720" w:hanging="360"/>
      </w:pPr>
    </w:lvl>
    <w:lvl w:ilvl="1">
      <w:start w:val="7"/>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7764D5"/>
    <w:multiLevelType w:val="hybridMultilevel"/>
    <w:tmpl w:val="3B5C936C"/>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B43B53"/>
    <w:multiLevelType w:val="hybridMultilevel"/>
    <w:tmpl w:val="53D21400"/>
    <w:lvl w:ilvl="0" w:tplc="DB560C12">
      <w:start w:val="1"/>
      <w:numFmt w:val="decimal"/>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6" w15:restartNumberingAfterBreak="0">
    <w:nsid w:val="2AB63299"/>
    <w:multiLevelType w:val="hybridMultilevel"/>
    <w:tmpl w:val="A612B144"/>
    <w:lvl w:ilvl="0" w:tplc="E1B68D74">
      <w:start w:val="1"/>
      <w:numFmt w:val="lowerRoman"/>
      <w:lvlText w:val="(%1)"/>
      <w:lvlJc w:val="left"/>
      <w:pPr>
        <w:ind w:left="1713" w:hanging="360"/>
      </w:pPr>
      <w:rPr>
        <w:rFonts w:hint="default"/>
        <w:spacing w:val="-2"/>
        <w:w w:val="100"/>
        <w:lang w:val="en-US" w:eastAsia="en-US" w:bidi="ar-SA"/>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7" w15:restartNumberingAfterBreak="0">
    <w:nsid w:val="33742B94"/>
    <w:multiLevelType w:val="hybridMultilevel"/>
    <w:tmpl w:val="2D9638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BC5472"/>
    <w:multiLevelType w:val="hybridMultilevel"/>
    <w:tmpl w:val="BA84EC8C"/>
    <w:lvl w:ilvl="0" w:tplc="4009001B">
      <w:start w:val="1"/>
      <w:numFmt w:val="low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34E03926"/>
    <w:multiLevelType w:val="hybridMultilevel"/>
    <w:tmpl w:val="65C229DE"/>
    <w:lvl w:ilvl="0" w:tplc="A4E42988">
      <w:start w:val="1"/>
      <w:numFmt w:val="decimal"/>
      <w:lvlText w:val="%1."/>
      <w:lvlJc w:val="left"/>
      <w:pPr>
        <w:ind w:left="720" w:hanging="360"/>
      </w:pPr>
      <w:rPr>
        <w:rFonts w:eastAsiaTheme="minorHAnsi" w:hint="default"/>
        <w:b w:val="0"/>
        <w:bCs/>
        <w:i w:val="0"/>
        <w:iCs w:val="0"/>
        <w:color w:val="auto"/>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B5E0CEAE">
      <w:start w:val="1"/>
      <w:numFmt w:val="upperLetter"/>
      <w:lvlText w:val="%5."/>
      <w:lvlJc w:val="left"/>
      <w:pPr>
        <w:ind w:left="3600" w:hanging="360"/>
      </w:pPr>
      <w:rPr>
        <w:rFonts w:hint="default"/>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9565CDF"/>
    <w:multiLevelType w:val="hybridMultilevel"/>
    <w:tmpl w:val="9F0CFDA4"/>
    <w:lvl w:ilvl="0" w:tplc="FFFFFFFF">
      <w:start w:val="1"/>
      <w:numFmt w:val="decimal"/>
      <w:lvlText w:val="%1."/>
      <w:lvlJc w:val="left"/>
      <w:pPr>
        <w:ind w:left="720" w:hanging="360"/>
      </w:pPr>
      <w:rPr>
        <w:rFonts w:eastAsiaTheme="minorHAnsi" w:hint="default"/>
        <w:b w:val="0"/>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B52538"/>
    <w:multiLevelType w:val="hybridMultilevel"/>
    <w:tmpl w:val="968C0552"/>
    <w:lvl w:ilvl="0" w:tplc="1DB0528E">
      <w:start w:val="1"/>
      <w:numFmt w:val="decimal"/>
      <w:lvlText w:val="%1."/>
      <w:lvlJc w:val="left"/>
      <w:pPr>
        <w:ind w:left="1074" w:hanging="360"/>
      </w:pPr>
      <w:rPr>
        <w:rFonts w:hint="default"/>
      </w:rPr>
    </w:lvl>
    <w:lvl w:ilvl="1" w:tplc="40090019" w:tentative="1">
      <w:start w:val="1"/>
      <w:numFmt w:val="lowerLetter"/>
      <w:lvlText w:val="%2."/>
      <w:lvlJc w:val="left"/>
      <w:pPr>
        <w:ind w:left="1794" w:hanging="360"/>
      </w:pPr>
    </w:lvl>
    <w:lvl w:ilvl="2" w:tplc="4009001B" w:tentative="1">
      <w:start w:val="1"/>
      <w:numFmt w:val="lowerRoman"/>
      <w:lvlText w:val="%3."/>
      <w:lvlJc w:val="right"/>
      <w:pPr>
        <w:ind w:left="2514" w:hanging="180"/>
      </w:pPr>
    </w:lvl>
    <w:lvl w:ilvl="3" w:tplc="4009000F" w:tentative="1">
      <w:start w:val="1"/>
      <w:numFmt w:val="decimal"/>
      <w:lvlText w:val="%4."/>
      <w:lvlJc w:val="left"/>
      <w:pPr>
        <w:ind w:left="3234" w:hanging="360"/>
      </w:pPr>
    </w:lvl>
    <w:lvl w:ilvl="4" w:tplc="40090019" w:tentative="1">
      <w:start w:val="1"/>
      <w:numFmt w:val="lowerLetter"/>
      <w:lvlText w:val="%5."/>
      <w:lvlJc w:val="left"/>
      <w:pPr>
        <w:ind w:left="3954" w:hanging="360"/>
      </w:pPr>
    </w:lvl>
    <w:lvl w:ilvl="5" w:tplc="4009001B" w:tentative="1">
      <w:start w:val="1"/>
      <w:numFmt w:val="lowerRoman"/>
      <w:lvlText w:val="%6."/>
      <w:lvlJc w:val="right"/>
      <w:pPr>
        <w:ind w:left="4674" w:hanging="180"/>
      </w:pPr>
    </w:lvl>
    <w:lvl w:ilvl="6" w:tplc="4009000F" w:tentative="1">
      <w:start w:val="1"/>
      <w:numFmt w:val="decimal"/>
      <w:lvlText w:val="%7."/>
      <w:lvlJc w:val="left"/>
      <w:pPr>
        <w:ind w:left="5394" w:hanging="360"/>
      </w:pPr>
    </w:lvl>
    <w:lvl w:ilvl="7" w:tplc="40090019" w:tentative="1">
      <w:start w:val="1"/>
      <w:numFmt w:val="lowerLetter"/>
      <w:lvlText w:val="%8."/>
      <w:lvlJc w:val="left"/>
      <w:pPr>
        <w:ind w:left="6114" w:hanging="360"/>
      </w:pPr>
    </w:lvl>
    <w:lvl w:ilvl="8" w:tplc="4009001B" w:tentative="1">
      <w:start w:val="1"/>
      <w:numFmt w:val="lowerRoman"/>
      <w:lvlText w:val="%9."/>
      <w:lvlJc w:val="right"/>
      <w:pPr>
        <w:ind w:left="6834" w:hanging="180"/>
      </w:pPr>
    </w:lvl>
  </w:abstractNum>
  <w:abstractNum w:abstractNumId="12" w15:restartNumberingAfterBreak="0">
    <w:nsid w:val="7AC63F17"/>
    <w:multiLevelType w:val="hybridMultilevel"/>
    <w:tmpl w:val="D96EED90"/>
    <w:lvl w:ilvl="0" w:tplc="2CF4E1C6">
      <w:start w:val="1"/>
      <w:numFmt w:val="decimal"/>
      <w:lvlText w:val="%1)"/>
      <w:lvlJc w:val="left"/>
      <w:pPr>
        <w:ind w:left="1660" w:hanging="360"/>
      </w:pPr>
      <w:rPr>
        <w:b w:val="0"/>
        <w:bCs w:val="0"/>
      </w:rPr>
    </w:lvl>
    <w:lvl w:ilvl="1" w:tplc="40090019">
      <w:start w:val="1"/>
      <w:numFmt w:val="lowerLetter"/>
      <w:lvlText w:val="%2."/>
      <w:lvlJc w:val="left"/>
      <w:pPr>
        <w:ind w:left="2380" w:hanging="360"/>
      </w:pPr>
    </w:lvl>
    <w:lvl w:ilvl="2" w:tplc="4009001B" w:tentative="1">
      <w:start w:val="1"/>
      <w:numFmt w:val="lowerRoman"/>
      <w:lvlText w:val="%3."/>
      <w:lvlJc w:val="right"/>
      <w:pPr>
        <w:ind w:left="3100" w:hanging="180"/>
      </w:pPr>
    </w:lvl>
    <w:lvl w:ilvl="3" w:tplc="4009000F" w:tentative="1">
      <w:start w:val="1"/>
      <w:numFmt w:val="decimal"/>
      <w:lvlText w:val="%4."/>
      <w:lvlJc w:val="left"/>
      <w:pPr>
        <w:ind w:left="3820" w:hanging="360"/>
      </w:pPr>
    </w:lvl>
    <w:lvl w:ilvl="4" w:tplc="40090019" w:tentative="1">
      <w:start w:val="1"/>
      <w:numFmt w:val="lowerLetter"/>
      <w:lvlText w:val="%5."/>
      <w:lvlJc w:val="left"/>
      <w:pPr>
        <w:ind w:left="4540" w:hanging="360"/>
      </w:pPr>
    </w:lvl>
    <w:lvl w:ilvl="5" w:tplc="4009001B" w:tentative="1">
      <w:start w:val="1"/>
      <w:numFmt w:val="lowerRoman"/>
      <w:lvlText w:val="%6."/>
      <w:lvlJc w:val="right"/>
      <w:pPr>
        <w:ind w:left="5260" w:hanging="180"/>
      </w:pPr>
    </w:lvl>
    <w:lvl w:ilvl="6" w:tplc="4009000F" w:tentative="1">
      <w:start w:val="1"/>
      <w:numFmt w:val="decimal"/>
      <w:lvlText w:val="%7."/>
      <w:lvlJc w:val="left"/>
      <w:pPr>
        <w:ind w:left="5980" w:hanging="360"/>
      </w:pPr>
    </w:lvl>
    <w:lvl w:ilvl="7" w:tplc="40090019" w:tentative="1">
      <w:start w:val="1"/>
      <w:numFmt w:val="lowerLetter"/>
      <w:lvlText w:val="%8."/>
      <w:lvlJc w:val="left"/>
      <w:pPr>
        <w:ind w:left="6700" w:hanging="360"/>
      </w:pPr>
    </w:lvl>
    <w:lvl w:ilvl="8" w:tplc="4009001B" w:tentative="1">
      <w:start w:val="1"/>
      <w:numFmt w:val="lowerRoman"/>
      <w:lvlText w:val="%9."/>
      <w:lvlJc w:val="right"/>
      <w:pPr>
        <w:ind w:left="7420" w:hanging="180"/>
      </w:pPr>
    </w:lvl>
  </w:abstractNum>
  <w:num w:numId="1" w16cid:durableId="1414543395">
    <w:abstractNumId w:val="9"/>
  </w:num>
  <w:num w:numId="2" w16cid:durableId="1119952911">
    <w:abstractNumId w:val="3"/>
  </w:num>
  <w:num w:numId="3" w16cid:durableId="685014114">
    <w:abstractNumId w:val="10"/>
  </w:num>
  <w:num w:numId="4" w16cid:durableId="1786148328">
    <w:abstractNumId w:val="11"/>
  </w:num>
  <w:num w:numId="5" w16cid:durableId="542408103">
    <w:abstractNumId w:val="0"/>
  </w:num>
  <w:num w:numId="6" w16cid:durableId="1750344359">
    <w:abstractNumId w:val="1"/>
  </w:num>
  <w:num w:numId="7" w16cid:durableId="825241925">
    <w:abstractNumId w:val="7"/>
  </w:num>
  <w:num w:numId="8" w16cid:durableId="882598640">
    <w:abstractNumId w:val="5"/>
  </w:num>
  <w:num w:numId="9" w16cid:durableId="423110411">
    <w:abstractNumId w:val="2"/>
  </w:num>
  <w:num w:numId="10" w16cid:durableId="223831424">
    <w:abstractNumId w:val="8"/>
  </w:num>
  <w:num w:numId="11" w16cid:durableId="1517840803">
    <w:abstractNumId w:val="4"/>
  </w:num>
  <w:num w:numId="12" w16cid:durableId="1453478862">
    <w:abstractNumId w:val="6"/>
  </w:num>
  <w:num w:numId="13" w16cid:durableId="182126356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FBF"/>
    <w:rsid w:val="000019AC"/>
    <w:rsid w:val="00001C76"/>
    <w:rsid w:val="000024B1"/>
    <w:rsid w:val="000028DD"/>
    <w:rsid w:val="000034A1"/>
    <w:rsid w:val="00003F18"/>
    <w:rsid w:val="00004591"/>
    <w:rsid w:val="00006046"/>
    <w:rsid w:val="00007214"/>
    <w:rsid w:val="000074F2"/>
    <w:rsid w:val="00007946"/>
    <w:rsid w:val="00007C01"/>
    <w:rsid w:val="00007F3F"/>
    <w:rsid w:val="00007FC9"/>
    <w:rsid w:val="000105A0"/>
    <w:rsid w:val="0001227C"/>
    <w:rsid w:val="00012C7D"/>
    <w:rsid w:val="00013596"/>
    <w:rsid w:val="00013D65"/>
    <w:rsid w:val="00013DA9"/>
    <w:rsid w:val="00016726"/>
    <w:rsid w:val="00016D25"/>
    <w:rsid w:val="00016F9F"/>
    <w:rsid w:val="000176CB"/>
    <w:rsid w:val="000200D6"/>
    <w:rsid w:val="000201D9"/>
    <w:rsid w:val="0002086E"/>
    <w:rsid w:val="00020F7F"/>
    <w:rsid w:val="0002161E"/>
    <w:rsid w:val="00021799"/>
    <w:rsid w:val="00021BC3"/>
    <w:rsid w:val="00022C4B"/>
    <w:rsid w:val="0002447B"/>
    <w:rsid w:val="00024AAA"/>
    <w:rsid w:val="0002567E"/>
    <w:rsid w:val="00026924"/>
    <w:rsid w:val="00026A9A"/>
    <w:rsid w:val="000305F9"/>
    <w:rsid w:val="00030600"/>
    <w:rsid w:val="00030A6A"/>
    <w:rsid w:val="00031D48"/>
    <w:rsid w:val="0003214A"/>
    <w:rsid w:val="000321C1"/>
    <w:rsid w:val="0003281F"/>
    <w:rsid w:val="00034BB8"/>
    <w:rsid w:val="00035133"/>
    <w:rsid w:val="0003576D"/>
    <w:rsid w:val="00035C52"/>
    <w:rsid w:val="00035CAD"/>
    <w:rsid w:val="00035F05"/>
    <w:rsid w:val="00035F9A"/>
    <w:rsid w:val="0003711D"/>
    <w:rsid w:val="000371F8"/>
    <w:rsid w:val="00040BD0"/>
    <w:rsid w:val="00040D7D"/>
    <w:rsid w:val="00040E29"/>
    <w:rsid w:val="00041119"/>
    <w:rsid w:val="00041D66"/>
    <w:rsid w:val="00041D7F"/>
    <w:rsid w:val="00041ED7"/>
    <w:rsid w:val="000428AE"/>
    <w:rsid w:val="00042B12"/>
    <w:rsid w:val="00043664"/>
    <w:rsid w:val="00044E31"/>
    <w:rsid w:val="00044E8F"/>
    <w:rsid w:val="0004549F"/>
    <w:rsid w:val="00046146"/>
    <w:rsid w:val="00046709"/>
    <w:rsid w:val="00047424"/>
    <w:rsid w:val="00047EDD"/>
    <w:rsid w:val="00053015"/>
    <w:rsid w:val="00054A65"/>
    <w:rsid w:val="00055309"/>
    <w:rsid w:val="00055383"/>
    <w:rsid w:val="00056F2F"/>
    <w:rsid w:val="00057280"/>
    <w:rsid w:val="00057C20"/>
    <w:rsid w:val="0006019E"/>
    <w:rsid w:val="00060477"/>
    <w:rsid w:val="0006092F"/>
    <w:rsid w:val="0006198E"/>
    <w:rsid w:val="0006204C"/>
    <w:rsid w:val="0006342D"/>
    <w:rsid w:val="000634FD"/>
    <w:rsid w:val="00063957"/>
    <w:rsid w:val="00065966"/>
    <w:rsid w:val="00065BD9"/>
    <w:rsid w:val="00065C78"/>
    <w:rsid w:val="00066243"/>
    <w:rsid w:val="00070083"/>
    <w:rsid w:val="00070662"/>
    <w:rsid w:val="000714AF"/>
    <w:rsid w:val="00072B36"/>
    <w:rsid w:val="00072C93"/>
    <w:rsid w:val="00073001"/>
    <w:rsid w:val="0007339B"/>
    <w:rsid w:val="00073567"/>
    <w:rsid w:val="0007363B"/>
    <w:rsid w:val="00073BD2"/>
    <w:rsid w:val="0007455F"/>
    <w:rsid w:val="00074FB1"/>
    <w:rsid w:val="00075B6F"/>
    <w:rsid w:val="00076496"/>
    <w:rsid w:val="00076B17"/>
    <w:rsid w:val="0007723B"/>
    <w:rsid w:val="00080458"/>
    <w:rsid w:val="000806F1"/>
    <w:rsid w:val="000807DF"/>
    <w:rsid w:val="00080CEB"/>
    <w:rsid w:val="00081754"/>
    <w:rsid w:val="00081ECB"/>
    <w:rsid w:val="0008247C"/>
    <w:rsid w:val="00082AF4"/>
    <w:rsid w:val="00082CC7"/>
    <w:rsid w:val="00083121"/>
    <w:rsid w:val="00083989"/>
    <w:rsid w:val="00084541"/>
    <w:rsid w:val="00084F12"/>
    <w:rsid w:val="0008506C"/>
    <w:rsid w:val="0008579E"/>
    <w:rsid w:val="00086424"/>
    <w:rsid w:val="000869CA"/>
    <w:rsid w:val="00086B61"/>
    <w:rsid w:val="000870D5"/>
    <w:rsid w:val="000874EA"/>
    <w:rsid w:val="00087CA2"/>
    <w:rsid w:val="00090DC0"/>
    <w:rsid w:val="000915EA"/>
    <w:rsid w:val="00092ACF"/>
    <w:rsid w:val="00092B91"/>
    <w:rsid w:val="00092D82"/>
    <w:rsid w:val="00093E68"/>
    <w:rsid w:val="00094106"/>
    <w:rsid w:val="00095685"/>
    <w:rsid w:val="0009619C"/>
    <w:rsid w:val="0009622B"/>
    <w:rsid w:val="00096A04"/>
    <w:rsid w:val="00096D46"/>
    <w:rsid w:val="000971CE"/>
    <w:rsid w:val="00097EB8"/>
    <w:rsid w:val="000A2116"/>
    <w:rsid w:val="000A2C42"/>
    <w:rsid w:val="000A3B86"/>
    <w:rsid w:val="000A3BC7"/>
    <w:rsid w:val="000A3C9A"/>
    <w:rsid w:val="000A44E7"/>
    <w:rsid w:val="000A5331"/>
    <w:rsid w:val="000A5B85"/>
    <w:rsid w:val="000A7789"/>
    <w:rsid w:val="000A7AB6"/>
    <w:rsid w:val="000B016A"/>
    <w:rsid w:val="000B25D9"/>
    <w:rsid w:val="000B3123"/>
    <w:rsid w:val="000B38DB"/>
    <w:rsid w:val="000B3B46"/>
    <w:rsid w:val="000B4BBB"/>
    <w:rsid w:val="000B549C"/>
    <w:rsid w:val="000B5F12"/>
    <w:rsid w:val="000B6D6E"/>
    <w:rsid w:val="000B73CF"/>
    <w:rsid w:val="000B7C26"/>
    <w:rsid w:val="000B7C42"/>
    <w:rsid w:val="000C00D9"/>
    <w:rsid w:val="000C053C"/>
    <w:rsid w:val="000C0A7C"/>
    <w:rsid w:val="000C0FC4"/>
    <w:rsid w:val="000C294D"/>
    <w:rsid w:val="000C3263"/>
    <w:rsid w:val="000C358C"/>
    <w:rsid w:val="000C45A0"/>
    <w:rsid w:val="000C4BD5"/>
    <w:rsid w:val="000C7940"/>
    <w:rsid w:val="000D1BA0"/>
    <w:rsid w:val="000D27B6"/>
    <w:rsid w:val="000D3BA0"/>
    <w:rsid w:val="000D4839"/>
    <w:rsid w:val="000D53E0"/>
    <w:rsid w:val="000D5C09"/>
    <w:rsid w:val="000D7020"/>
    <w:rsid w:val="000D7973"/>
    <w:rsid w:val="000D7EB5"/>
    <w:rsid w:val="000E033B"/>
    <w:rsid w:val="000E0555"/>
    <w:rsid w:val="000E1A9E"/>
    <w:rsid w:val="000E37CC"/>
    <w:rsid w:val="000E3B73"/>
    <w:rsid w:val="000E46CB"/>
    <w:rsid w:val="000E4943"/>
    <w:rsid w:val="000E5E56"/>
    <w:rsid w:val="000E6D5B"/>
    <w:rsid w:val="000E7621"/>
    <w:rsid w:val="000F148E"/>
    <w:rsid w:val="000F1D4E"/>
    <w:rsid w:val="000F253A"/>
    <w:rsid w:val="000F2C1A"/>
    <w:rsid w:val="000F305C"/>
    <w:rsid w:val="000F34E5"/>
    <w:rsid w:val="000F3AD4"/>
    <w:rsid w:val="000F3E43"/>
    <w:rsid w:val="000F3F20"/>
    <w:rsid w:val="000F429D"/>
    <w:rsid w:val="000F43D4"/>
    <w:rsid w:val="000F4568"/>
    <w:rsid w:val="000F5295"/>
    <w:rsid w:val="000F5E5C"/>
    <w:rsid w:val="000F64C0"/>
    <w:rsid w:val="000F73AA"/>
    <w:rsid w:val="000F7648"/>
    <w:rsid w:val="000F7D51"/>
    <w:rsid w:val="00100146"/>
    <w:rsid w:val="001003AE"/>
    <w:rsid w:val="0010041C"/>
    <w:rsid w:val="001006C4"/>
    <w:rsid w:val="00100793"/>
    <w:rsid w:val="00101338"/>
    <w:rsid w:val="001017EA"/>
    <w:rsid w:val="00102F69"/>
    <w:rsid w:val="0010304B"/>
    <w:rsid w:val="0010541C"/>
    <w:rsid w:val="00105627"/>
    <w:rsid w:val="0010586F"/>
    <w:rsid w:val="001062E4"/>
    <w:rsid w:val="00107BB0"/>
    <w:rsid w:val="00112FA3"/>
    <w:rsid w:val="00113432"/>
    <w:rsid w:val="001135B8"/>
    <w:rsid w:val="00113759"/>
    <w:rsid w:val="0011424F"/>
    <w:rsid w:val="00114468"/>
    <w:rsid w:val="001146C3"/>
    <w:rsid w:val="001159FE"/>
    <w:rsid w:val="00115B59"/>
    <w:rsid w:val="00116BCD"/>
    <w:rsid w:val="00121809"/>
    <w:rsid w:val="00121E80"/>
    <w:rsid w:val="00121FB3"/>
    <w:rsid w:val="001235D0"/>
    <w:rsid w:val="0012403B"/>
    <w:rsid w:val="0012459E"/>
    <w:rsid w:val="00125799"/>
    <w:rsid w:val="00127E79"/>
    <w:rsid w:val="00127F07"/>
    <w:rsid w:val="00127FF0"/>
    <w:rsid w:val="00130FE5"/>
    <w:rsid w:val="0013112D"/>
    <w:rsid w:val="0013156A"/>
    <w:rsid w:val="001318D6"/>
    <w:rsid w:val="00131C2E"/>
    <w:rsid w:val="00132CD7"/>
    <w:rsid w:val="001332CD"/>
    <w:rsid w:val="001346A0"/>
    <w:rsid w:val="001361E8"/>
    <w:rsid w:val="001371A6"/>
    <w:rsid w:val="00137BF9"/>
    <w:rsid w:val="0014040F"/>
    <w:rsid w:val="0014197D"/>
    <w:rsid w:val="00141BF4"/>
    <w:rsid w:val="0014273E"/>
    <w:rsid w:val="00143B43"/>
    <w:rsid w:val="00144558"/>
    <w:rsid w:val="00144D11"/>
    <w:rsid w:val="001452AC"/>
    <w:rsid w:val="00145455"/>
    <w:rsid w:val="00145B5C"/>
    <w:rsid w:val="00145E4A"/>
    <w:rsid w:val="00146D05"/>
    <w:rsid w:val="00146D6E"/>
    <w:rsid w:val="001472C9"/>
    <w:rsid w:val="0015004A"/>
    <w:rsid w:val="001518BF"/>
    <w:rsid w:val="00151BD0"/>
    <w:rsid w:val="00152D31"/>
    <w:rsid w:val="00154396"/>
    <w:rsid w:val="00154B63"/>
    <w:rsid w:val="00154B94"/>
    <w:rsid w:val="00154DBE"/>
    <w:rsid w:val="0015546C"/>
    <w:rsid w:val="00155D2E"/>
    <w:rsid w:val="00157F19"/>
    <w:rsid w:val="00157FD4"/>
    <w:rsid w:val="00161837"/>
    <w:rsid w:val="00162A9F"/>
    <w:rsid w:val="00163692"/>
    <w:rsid w:val="001643B8"/>
    <w:rsid w:val="00164A2C"/>
    <w:rsid w:val="00165DA8"/>
    <w:rsid w:val="00167287"/>
    <w:rsid w:val="001678B2"/>
    <w:rsid w:val="00170DF5"/>
    <w:rsid w:val="00171291"/>
    <w:rsid w:val="001716FF"/>
    <w:rsid w:val="00172B9D"/>
    <w:rsid w:val="0017437F"/>
    <w:rsid w:val="0017454F"/>
    <w:rsid w:val="00175F02"/>
    <w:rsid w:val="00176A8B"/>
    <w:rsid w:val="0017729B"/>
    <w:rsid w:val="00180244"/>
    <w:rsid w:val="00180F30"/>
    <w:rsid w:val="0018176A"/>
    <w:rsid w:val="0018188D"/>
    <w:rsid w:val="001819E3"/>
    <w:rsid w:val="00182618"/>
    <w:rsid w:val="00182881"/>
    <w:rsid w:val="00182DFC"/>
    <w:rsid w:val="00182FB4"/>
    <w:rsid w:val="00183319"/>
    <w:rsid w:val="00183798"/>
    <w:rsid w:val="00183B40"/>
    <w:rsid w:val="00184BAC"/>
    <w:rsid w:val="0018769B"/>
    <w:rsid w:val="001877F1"/>
    <w:rsid w:val="0019017F"/>
    <w:rsid w:val="00190467"/>
    <w:rsid w:val="0019069A"/>
    <w:rsid w:val="001918CA"/>
    <w:rsid w:val="00191923"/>
    <w:rsid w:val="00191E12"/>
    <w:rsid w:val="001926AA"/>
    <w:rsid w:val="001926FF"/>
    <w:rsid w:val="00192881"/>
    <w:rsid w:val="0019291E"/>
    <w:rsid w:val="00192E01"/>
    <w:rsid w:val="00192F3E"/>
    <w:rsid w:val="00193054"/>
    <w:rsid w:val="001946AB"/>
    <w:rsid w:val="001946DE"/>
    <w:rsid w:val="0019569A"/>
    <w:rsid w:val="00195CE6"/>
    <w:rsid w:val="00195D74"/>
    <w:rsid w:val="00197525"/>
    <w:rsid w:val="001A1388"/>
    <w:rsid w:val="001A14B0"/>
    <w:rsid w:val="001A175D"/>
    <w:rsid w:val="001A2185"/>
    <w:rsid w:val="001A2B0D"/>
    <w:rsid w:val="001A2E75"/>
    <w:rsid w:val="001A3A7E"/>
    <w:rsid w:val="001A468F"/>
    <w:rsid w:val="001A4D07"/>
    <w:rsid w:val="001A585A"/>
    <w:rsid w:val="001A6E60"/>
    <w:rsid w:val="001A7006"/>
    <w:rsid w:val="001A7E86"/>
    <w:rsid w:val="001A7F15"/>
    <w:rsid w:val="001B049D"/>
    <w:rsid w:val="001B063E"/>
    <w:rsid w:val="001B0CAF"/>
    <w:rsid w:val="001B1303"/>
    <w:rsid w:val="001B1B54"/>
    <w:rsid w:val="001B28EB"/>
    <w:rsid w:val="001B3282"/>
    <w:rsid w:val="001B371C"/>
    <w:rsid w:val="001B42BD"/>
    <w:rsid w:val="001B6584"/>
    <w:rsid w:val="001B7A60"/>
    <w:rsid w:val="001C04BB"/>
    <w:rsid w:val="001C118C"/>
    <w:rsid w:val="001C12ED"/>
    <w:rsid w:val="001C15B8"/>
    <w:rsid w:val="001C1665"/>
    <w:rsid w:val="001C1FEF"/>
    <w:rsid w:val="001C26A6"/>
    <w:rsid w:val="001C2861"/>
    <w:rsid w:val="001C2E87"/>
    <w:rsid w:val="001C3171"/>
    <w:rsid w:val="001C364C"/>
    <w:rsid w:val="001C3996"/>
    <w:rsid w:val="001C4E5B"/>
    <w:rsid w:val="001C55D2"/>
    <w:rsid w:val="001C5A4D"/>
    <w:rsid w:val="001C6025"/>
    <w:rsid w:val="001C693F"/>
    <w:rsid w:val="001C72C0"/>
    <w:rsid w:val="001C77B5"/>
    <w:rsid w:val="001C786C"/>
    <w:rsid w:val="001C7A55"/>
    <w:rsid w:val="001D1259"/>
    <w:rsid w:val="001D1C8D"/>
    <w:rsid w:val="001D224F"/>
    <w:rsid w:val="001D2BE5"/>
    <w:rsid w:val="001D2F13"/>
    <w:rsid w:val="001D4022"/>
    <w:rsid w:val="001D4BEC"/>
    <w:rsid w:val="001D4D80"/>
    <w:rsid w:val="001D4E80"/>
    <w:rsid w:val="001D5689"/>
    <w:rsid w:val="001D5BAB"/>
    <w:rsid w:val="001D5F5C"/>
    <w:rsid w:val="001D5F8C"/>
    <w:rsid w:val="001D6A9D"/>
    <w:rsid w:val="001D6C56"/>
    <w:rsid w:val="001D7546"/>
    <w:rsid w:val="001E03B5"/>
    <w:rsid w:val="001E0EB9"/>
    <w:rsid w:val="001E223E"/>
    <w:rsid w:val="001E241F"/>
    <w:rsid w:val="001E2828"/>
    <w:rsid w:val="001E40B3"/>
    <w:rsid w:val="001E4394"/>
    <w:rsid w:val="001E57CC"/>
    <w:rsid w:val="001E6C9B"/>
    <w:rsid w:val="001E70A0"/>
    <w:rsid w:val="001E7715"/>
    <w:rsid w:val="001F0A0C"/>
    <w:rsid w:val="001F1AA5"/>
    <w:rsid w:val="001F3593"/>
    <w:rsid w:val="001F362C"/>
    <w:rsid w:val="001F398C"/>
    <w:rsid w:val="001F3A4D"/>
    <w:rsid w:val="001F3B65"/>
    <w:rsid w:val="001F3C9E"/>
    <w:rsid w:val="001F3D63"/>
    <w:rsid w:val="001F3E95"/>
    <w:rsid w:val="001F467F"/>
    <w:rsid w:val="001F57B1"/>
    <w:rsid w:val="001F6D97"/>
    <w:rsid w:val="001F7A92"/>
    <w:rsid w:val="001F7C5B"/>
    <w:rsid w:val="001F7CA9"/>
    <w:rsid w:val="001F7FC4"/>
    <w:rsid w:val="00201458"/>
    <w:rsid w:val="002046BB"/>
    <w:rsid w:val="0020472C"/>
    <w:rsid w:val="0020505D"/>
    <w:rsid w:val="00205293"/>
    <w:rsid w:val="002053F9"/>
    <w:rsid w:val="00205416"/>
    <w:rsid w:val="0020622A"/>
    <w:rsid w:val="00207A2F"/>
    <w:rsid w:val="00207ADB"/>
    <w:rsid w:val="00207D55"/>
    <w:rsid w:val="00210590"/>
    <w:rsid w:val="002111D2"/>
    <w:rsid w:val="002115C9"/>
    <w:rsid w:val="00211D51"/>
    <w:rsid w:val="00212522"/>
    <w:rsid w:val="00212A75"/>
    <w:rsid w:val="00212F1C"/>
    <w:rsid w:val="00213E93"/>
    <w:rsid w:val="002149CF"/>
    <w:rsid w:val="00214AF9"/>
    <w:rsid w:val="002158AA"/>
    <w:rsid w:val="00215F26"/>
    <w:rsid w:val="00216689"/>
    <w:rsid w:val="002173EE"/>
    <w:rsid w:val="002203BB"/>
    <w:rsid w:val="0022049C"/>
    <w:rsid w:val="00222A0D"/>
    <w:rsid w:val="00224405"/>
    <w:rsid w:val="00224B51"/>
    <w:rsid w:val="00225406"/>
    <w:rsid w:val="00225A38"/>
    <w:rsid w:val="00225B03"/>
    <w:rsid w:val="00225F0D"/>
    <w:rsid w:val="0022671E"/>
    <w:rsid w:val="00226742"/>
    <w:rsid w:val="00226FC5"/>
    <w:rsid w:val="00227502"/>
    <w:rsid w:val="002275F4"/>
    <w:rsid w:val="002276D8"/>
    <w:rsid w:val="002279B2"/>
    <w:rsid w:val="002308A2"/>
    <w:rsid w:val="002309FE"/>
    <w:rsid w:val="002312C5"/>
    <w:rsid w:val="00231546"/>
    <w:rsid w:val="00232197"/>
    <w:rsid w:val="00232B8F"/>
    <w:rsid w:val="00232E24"/>
    <w:rsid w:val="00232E94"/>
    <w:rsid w:val="0023302E"/>
    <w:rsid w:val="0023365A"/>
    <w:rsid w:val="002354F0"/>
    <w:rsid w:val="00235BE2"/>
    <w:rsid w:val="00235CBA"/>
    <w:rsid w:val="00236D0B"/>
    <w:rsid w:val="00237171"/>
    <w:rsid w:val="00240105"/>
    <w:rsid w:val="00242AC9"/>
    <w:rsid w:val="002430FB"/>
    <w:rsid w:val="002431D8"/>
    <w:rsid w:val="002439E8"/>
    <w:rsid w:val="00243D07"/>
    <w:rsid w:val="00244EE1"/>
    <w:rsid w:val="00245063"/>
    <w:rsid w:val="002457CD"/>
    <w:rsid w:val="00245994"/>
    <w:rsid w:val="002459E0"/>
    <w:rsid w:val="00246050"/>
    <w:rsid w:val="00246888"/>
    <w:rsid w:val="00246C7B"/>
    <w:rsid w:val="002500A8"/>
    <w:rsid w:val="00250BDF"/>
    <w:rsid w:val="00251358"/>
    <w:rsid w:val="00251955"/>
    <w:rsid w:val="00251E1E"/>
    <w:rsid w:val="0025322E"/>
    <w:rsid w:val="00253411"/>
    <w:rsid w:val="002541AA"/>
    <w:rsid w:val="00254E54"/>
    <w:rsid w:val="00255147"/>
    <w:rsid w:val="00255837"/>
    <w:rsid w:val="00255E6E"/>
    <w:rsid w:val="00256308"/>
    <w:rsid w:val="00256DC8"/>
    <w:rsid w:val="002571E7"/>
    <w:rsid w:val="0025789D"/>
    <w:rsid w:val="00257BE9"/>
    <w:rsid w:val="00257EF5"/>
    <w:rsid w:val="0026058C"/>
    <w:rsid w:val="00261A2A"/>
    <w:rsid w:val="002620BB"/>
    <w:rsid w:val="0026352B"/>
    <w:rsid w:val="002647CE"/>
    <w:rsid w:val="00265BB1"/>
    <w:rsid w:val="00265E7D"/>
    <w:rsid w:val="002666AA"/>
    <w:rsid w:val="0026705A"/>
    <w:rsid w:val="0026715E"/>
    <w:rsid w:val="0026729F"/>
    <w:rsid w:val="00270876"/>
    <w:rsid w:val="00270B94"/>
    <w:rsid w:val="00270C8E"/>
    <w:rsid w:val="0027156A"/>
    <w:rsid w:val="00271B54"/>
    <w:rsid w:val="00272542"/>
    <w:rsid w:val="002725E4"/>
    <w:rsid w:val="002756F5"/>
    <w:rsid w:val="00276826"/>
    <w:rsid w:val="00276AE6"/>
    <w:rsid w:val="00277C47"/>
    <w:rsid w:val="002808DE"/>
    <w:rsid w:val="00281526"/>
    <w:rsid w:val="00282369"/>
    <w:rsid w:val="00282FAE"/>
    <w:rsid w:val="00283011"/>
    <w:rsid w:val="0028385F"/>
    <w:rsid w:val="00284679"/>
    <w:rsid w:val="002848EC"/>
    <w:rsid w:val="0028496D"/>
    <w:rsid w:val="00284A80"/>
    <w:rsid w:val="00285F65"/>
    <w:rsid w:val="002860F7"/>
    <w:rsid w:val="002862D7"/>
    <w:rsid w:val="002865DE"/>
    <w:rsid w:val="0028682D"/>
    <w:rsid w:val="00286899"/>
    <w:rsid w:val="00286A36"/>
    <w:rsid w:val="00286B02"/>
    <w:rsid w:val="00286D65"/>
    <w:rsid w:val="0028716E"/>
    <w:rsid w:val="00287178"/>
    <w:rsid w:val="00287415"/>
    <w:rsid w:val="00290358"/>
    <w:rsid w:val="002906A1"/>
    <w:rsid w:val="00290C56"/>
    <w:rsid w:val="00291805"/>
    <w:rsid w:val="00291FDF"/>
    <w:rsid w:val="0029249C"/>
    <w:rsid w:val="002928FB"/>
    <w:rsid w:val="00292DD7"/>
    <w:rsid w:val="00292E14"/>
    <w:rsid w:val="00294BDC"/>
    <w:rsid w:val="00294EC3"/>
    <w:rsid w:val="002955D0"/>
    <w:rsid w:val="002956C1"/>
    <w:rsid w:val="002959F0"/>
    <w:rsid w:val="00296D9F"/>
    <w:rsid w:val="00296DCB"/>
    <w:rsid w:val="00296F6E"/>
    <w:rsid w:val="00297AE4"/>
    <w:rsid w:val="00297C6F"/>
    <w:rsid w:val="002A0D50"/>
    <w:rsid w:val="002A17D6"/>
    <w:rsid w:val="002A1EB0"/>
    <w:rsid w:val="002A2BEF"/>
    <w:rsid w:val="002A36C9"/>
    <w:rsid w:val="002A40E3"/>
    <w:rsid w:val="002A4A8D"/>
    <w:rsid w:val="002A4BEB"/>
    <w:rsid w:val="002A51C5"/>
    <w:rsid w:val="002A5941"/>
    <w:rsid w:val="002A7624"/>
    <w:rsid w:val="002A7A3E"/>
    <w:rsid w:val="002B0776"/>
    <w:rsid w:val="002B0B7F"/>
    <w:rsid w:val="002B1F45"/>
    <w:rsid w:val="002B2B9C"/>
    <w:rsid w:val="002B2FB2"/>
    <w:rsid w:val="002B409F"/>
    <w:rsid w:val="002B4FC0"/>
    <w:rsid w:val="002B5233"/>
    <w:rsid w:val="002B655A"/>
    <w:rsid w:val="002B7584"/>
    <w:rsid w:val="002B78DD"/>
    <w:rsid w:val="002B7CC0"/>
    <w:rsid w:val="002C2646"/>
    <w:rsid w:val="002C30AC"/>
    <w:rsid w:val="002C32CC"/>
    <w:rsid w:val="002C435E"/>
    <w:rsid w:val="002C44E4"/>
    <w:rsid w:val="002C577A"/>
    <w:rsid w:val="002C5B15"/>
    <w:rsid w:val="002C62D6"/>
    <w:rsid w:val="002C6CD0"/>
    <w:rsid w:val="002C6FA9"/>
    <w:rsid w:val="002C7599"/>
    <w:rsid w:val="002C7DAA"/>
    <w:rsid w:val="002D003D"/>
    <w:rsid w:val="002D0556"/>
    <w:rsid w:val="002D2FB1"/>
    <w:rsid w:val="002D2FF1"/>
    <w:rsid w:val="002D3719"/>
    <w:rsid w:val="002D3904"/>
    <w:rsid w:val="002D3A75"/>
    <w:rsid w:val="002D3BB5"/>
    <w:rsid w:val="002D3C75"/>
    <w:rsid w:val="002D4C6C"/>
    <w:rsid w:val="002D4C96"/>
    <w:rsid w:val="002D60AD"/>
    <w:rsid w:val="002D6CBD"/>
    <w:rsid w:val="002D765B"/>
    <w:rsid w:val="002E01E0"/>
    <w:rsid w:val="002E05AA"/>
    <w:rsid w:val="002E1E9F"/>
    <w:rsid w:val="002E1F23"/>
    <w:rsid w:val="002E4BDA"/>
    <w:rsid w:val="002E4F03"/>
    <w:rsid w:val="002E56EB"/>
    <w:rsid w:val="002E5742"/>
    <w:rsid w:val="002E58E4"/>
    <w:rsid w:val="002E61F0"/>
    <w:rsid w:val="002E626B"/>
    <w:rsid w:val="002E6382"/>
    <w:rsid w:val="002E6D4F"/>
    <w:rsid w:val="002E7948"/>
    <w:rsid w:val="002E7D76"/>
    <w:rsid w:val="002F01B8"/>
    <w:rsid w:val="002F046B"/>
    <w:rsid w:val="002F08AF"/>
    <w:rsid w:val="002F0D6A"/>
    <w:rsid w:val="002F0E8D"/>
    <w:rsid w:val="002F1D22"/>
    <w:rsid w:val="002F1EEE"/>
    <w:rsid w:val="002F2C35"/>
    <w:rsid w:val="002F2ED8"/>
    <w:rsid w:val="002F39E9"/>
    <w:rsid w:val="002F500B"/>
    <w:rsid w:val="002F6488"/>
    <w:rsid w:val="002F7AC8"/>
    <w:rsid w:val="003002C1"/>
    <w:rsid w:val="0030167B"/>
    <w:rsid w:val="00301F56"/>
    <w:rsid w:val="00302093"/>
    <w:rsid w:val="0030235D"/>
    <w:rsid w:val="003028F8"/>
    <w:rsid w:val="00302F0D"/>
    <w:rsid w:val="00303583"/>
    <w:rsid w:val="00303A21"/>
    <w:rsid w:val="0030489A"/>
    <w:rsid w:val="003048C3"/>
    <w:rsid w:val="00304961"/>
    <w:rsid w:val="003054DC"/>
    <w:rsid w:val="00306394"/>
    <w:rsid w:val="00306650"/>
    <w:rsid w:val="00307C72"/>
    <w:rsid w:val="0031054B"/>
    <w:rsid w:val="00310F1B"/>
    <w:rsid w:val="00311330"/>
    <w:rsid w:val="0031201D"/>
    <w:rsid w:val="00312A36"/>
    <w:rsid w:val="0031341E"/>
    <w:rsid w:val="003134DD"/>
    <w:rsid w:val="00313573"/>
    <w:rsid w:val="00313B52"/>
    <w:rsid w:val="003160E3"/>
    <w:rsid w:val="003173AF"/>
    <w:rsid w:val="00317631"/>
    <w:rsid w:val="003205BC"/>
    <w:rsid w:val="003208E0"/>
    <w:rsid w:val="0032108C"/>
    <w:rsid w:val="00321510"/>
    <w:rsid w:val="00322743"/>
    <w:rsid w:val="00323840"/>
    <w:rsid w:val="003238D6"/>
    <w:rsid w:val="00324C13"/>
    <w:rsid w:val="00325450"/>
    <w:rsid w:val="0032591C"/>
    <w:rsid w:val="00325BBA"/>
    <w:rsid w:val="00326324"/>
    <w:rsid w:val="00326602"/>
    <w:rsid w:val="00326C22"/>
    <w:rsid w:val="00326D5F"/>
    <w:rsid w:val="00326EEE"/>
    <w:rsid w:val="00331376"/>
    <w:rsid w:val="0033149E"/>
    <w:rsid w:val="0033248B"/>
    <w:rsid w:val="00334879"/>
    <w:rsid w:val="00334E16"/>
    <w:rsid w:val="00334E22"/>
    <w:rsid w:val="00334E99"/>
    <w:rsid w:val="0033532D"/>
    <w:rsid w:val="00335347"/>
    <w:rsid w:val="00337CF8"/>
    <w:rsid w:val="0034097F"/>
    <w:rsid w:val="00341F2B"/>
    <w:rsid w:val="003422BF"/>
    <w:rsid w:val="0034233C"/>
    <w:rsid w:val="00342D68"/>
    <w:rsid w:val="00342E1B"/>
    <w:rsid w:val="003436FF"/>
    <w:rsid w:val="00345975"/>
    <w:rsid w:val="00346B75"/>
    <w:rsid w:val="0034725A"/>
    <w:rsid w:val="00350E86"/>
    <w:rsid w:val="003511C4"/>
    <w:rsid w:val="00351A40"/>
    <w:rsid w:val="00351DEE"/>
    <w:rsid w:val="0035279A"/>
    <w:rsid w:val="00354566"/>
    <w:rsid w:val="00354A01"/>
    <w:rsid w:val="0035627F"/>
    <w:rsid w:val="003566D6"/>
    <w:rsid w:val="00356A7D"/>
    <w:rsid w:val="00356B08"/>
    <w:rsid w:val="00356BCD"/>
    <w:rsid w:val="00357140"/>
    <w:rsid w:val="00357806"/>
    <w:rsid w:val="003606D0"/>
    <w:rsid w:val="00360E61"/>
    <w:rsid w:val="00361AB6"/>
    <w:rsid w:val="00362273"/>
    <w:rsid w:val="00362415"/>
    <w:rsid w:val="00362515"/>
    <w:rsid w:val="00362F5F"/>
    <w:rsid w:val="003633D7"/>
    <w:rsid w:val="0036355A"/>
    <w:rsid w:val="00363F0A"/>
    <w:rsid w:val="00363F6E"/>
    <w:rsid w:val="003646EE"/>
    <w:rsid w:val="003657C3"/>
    <w:rsid w:val="00365A24"/>
    <w:rsid w:val="00365E44"/>
    <w:rsid w:val="00365F8F"/>
    <w:rsid w:val="003664C5"/>
    <w:rsid w:val="00366649"/>
    <w:rsid w:val="00366971"/>
    <w:rsid w:val="00366AF0"/>
    <w:rsid w:val="0036754D"/>
    <w:rsid w:val="003709A3"/>
    <w:rsid w:val="00370E6D"/>
    <w:rsid w:val="003726CF"/>
    <w:rsid w:val="00372B56"/>
    <w:rsid w:val="00373517"/>
    <w:rsid w:val="003740FF"/>
    <w:rsid w:val="003745D7"/>
    <w:rsid w:val="003749A2"/>
    <w:rsid w:val="00374CD1"/>
    <w:rsid w:val="00374D46"/>
    <w:rsid w:val="00375325"/>
    <w:rsid w:val="00376A15"/>
    <w:rsid w:val="00376ACD"/>
    <w:rsid w:val="00380138"/>
    <w:rsid w:val="00380402"/>
    <w:rsid w:val="00380B94"/>
    <w:rsid w:val="00381199"/>
    <w:rsid w:val="00381744"/>
    <w:rsid w:val="00381BD3"/>
    <w:rsid w:val="00382553"/>
    <w:rsid w:val="00382B52"/>
    <w:rsid w:val="003831C5"/>
    <w:rsid w:val="0038384C"/>
    <w:rsid w:val="00384516"/>
    <w:rsid w:val="00385274"/>
    <w:rsid w:val="00385444"/>
    <w:rsid w:val="003856F5"/>
    <w:rsid w:val="00385B36"/>
    <w:rsid w:val="00385DD0"/>
    <w:rsid w:val="0038646A"/>
    <w:rsid w:val="0038649D"/>
    <w:rsid w:val="00386795"/>
    <w:rsid w:val="00387916"/>
    <w:rsid w:val="00387CC4"/>
    <w:rsid w:val="00387E98"/>
    <w:rsid w:val="00387F66"/>
    <w:rsid w:val="003906E4"/>
    <w:rsid w:val="003907FA"/>
    <w:rsid w:val="00390C97"/>
    <w:rsid w:val="00392F33"/>
    <w:rsid w:val="00393751"/>
    <w:rsid w:val="00394419"/>
    <w:rsid w:val="003944BE"/>
    <w:rsid w:val="0039584C"/>
    <w:rsid w:val="00395DE3"/>
    <w:rsid w:val="00396CD7"/>
    <w:rsid w:val="00396D31"/>
    <w:rsid w:val="00397BD1"/>
    <w:rsid w:val="003A006C"/>
    <w:rsid w:val="003A184E"/>
    <w:rsid w:val="003A1B1B"/>
    <w:rsid w:val="003A3EDF"/>
    <w:rsid w:val="003A565E"/>
    <w:rsid w:val="003A652D"/>
    <w:rsid w:val="003A7C6F"/>
    <w:rsid w:val="003B1C76"/>
    <w:rsid w:val="003B222F"/>
    <w:rsid w:val="003B38C2"/>
    <w:rsid w:val="003B467D"/>
    <w:rsid w:val="003B485A"/>
    <w:rsid w:val="003B4A96"/>
    <w:rsid w:val="003B4DA7"/>
    <w:rsid w:val="003B5C7C"/>
    <w:rsid w:val="003B5E9B"/>
    <w:rsid w:val="003B6060"/>
    <w:rsid w:val="003B740E"/>
    <w:rsid w:val="003B7E27"/>
    <w:rsid w:val="003C002E"/>
    <w:rsid w:val="003C0090"/>
    <w:rsid w:val="003C072B"/>
    <w:rsid w:val="003C07C9"/>
    <w:rsid w:val="003C12BE"/>
    <w:rsid w:val="003C1377"/>
    <w:rsid w:val="003C3B01"/>
    <w:rsid w:val="003C419D"/>
    <w:rsid w:val="003C4C39"/>
    <w:rsid w:val="003C4DFB"/>
    <w:rsid w:val="003C5825"/>
    <w:rsid w:val="003C6EE5"/>
    <w:rsid w:val="003C6F60"/>
    <w:rsid w:val="003C704C"/>
    <w:rsid w:val="003C7167"/>
    <w:rsid w:val="003D006F"/>
    <w:rsid w:val="003D0BCA"/>
    <w:rsid w:val="003D0C0A"/>
    <w:rsid w:val="003D1265"/>
    <w:rsid w:val="003D179A"/>
    <w:rsid w:val="003D19AB"/>
    <w:rsid w:val="003D24E9"/>
    <w:rsid w:val="003D2E04"/>
    <w:rsid w:val="003D3332"/>
    <w:rsid w:val="003D37DD"/>
    <w:rsid w:val="003D55B6"/>
    <w:rsid w:val="003D6869"/>
    <w:rsid w:val="003D77A4"/>
    <w:rsid w:val="003E0033"/>
    <w:rsid w:val="003E0AC6"/>
    <w:rsid w:val="003E0AD7"/>
    <w:rsid w:val="003E0F8C"/>
    <w:rsid w:val="003E3067"/>
    <w:rsid w:val="003E5479"/>
    <w:rsid w:val="003E5921"/>
    <w:rsid w:val="003E761D"/>
    <w:rsid w:val="003E7885"/>
    <w:rsid w:val="003E7948"/>
    <w:rsid w:val="003E7E4E"/>
    <w:rsid w:val="003F2C6B"/>
    <w:rsid w:val="003F43E7"/>
    <w:rsid w:val="003F4555"/>
    <w:rsid w:val="003F4D37"/>
    <w:rsid w:val="003F4DFD"/>
    <w:rsid w:val="003F5992"/>
    <w:rsid w:val="003F7481"/>
    <w:rsid w:val="003F757C"/>
    <w:rsid w:val="00401DD6"/>
    <w:rsid w:val="004021DB"/>
    <w:rsid w:val="004022DA"/>
    <w:rsid w:val="00402FD5"/>
    <w:rsid w:val="0040368B"/>
    <w:rsid w:val="00403F05"/>
    <w:rsid w:val="00404D3B"/>
    <w:rsid w:val="0040521B"/>
    <w:rsid w:val="0040563A"/>
    <w:rsid w:val="004064A5"/>
    <w:rsid w:val="00406D2B"/>
    <w:rsid w:val="0041011C"/>
    <w:rsid w:val="004101D9"/>
    <w:rsid w:val="00410384"/>
    <w:rsid w:val="00412AB1"/>
    <w:rsid w:val="00412F15"/>
    <w:rsid w:val="00412F40"/>
    <w:rsid w:val="00413FFA"/>
    <w:rsid w:val="004151D9"/>
    <w:rsid w:val="00415931"/>
    <w:rsid w:val="00415A27"/>
    <w:rsid w:val="00416210"/>
    <w:rsid w:val="00417D8E"/>
    <w:rsid w:val="00420847"/>
    <w:rsid w:val="00420B33"/>
    <w:rsid w:val="00420BCA"/>
    <w:rsid w:val="00423902"/>
    <w:rsid w:val="004247E1"/>
    <w:rsid w:val="0042483A"/>
    <w:rsid w:val="00424CCA"/>
    <w:rsid w:val="00426CFC"/>
    <w:rsid w:val="0043020C"/>
    <w:rsid w:val="00430544"/>
    <w:rsid w:val="004314C3"/>
    <w:rsid w:val="00431678"/>
    <w:rsid w:val="00431A7E"/>
    <w:rsid w:val="00431C54"/>
    <w:rsid w:val="0043236A"/>
    <w:rsid w:val="004326D2"/>
    <w:rsid w:val="00433B5F"/>
    <w:rsid w:val="00434F43"/>
    <w:rsid w:val="00435E27"/>
    <w:rsid w:val="00435FCE"/>
    <w:rsid w:val="00436AFA"/>
    <w:rsid w:val="0043773F"/>
    <w:rsid w:val="00437B30"/>
    <w:rsid w:val="00440793"/>
    <w:rsid w:val="0044100E"/>
    <w:rsid w:val="00441340"/>
    <w:rsid w:val="004419C9"/>
    <w:rsid w:val="00442055"/>
    <w:rsid w:val="00442971"/>
    <w:rsid w:val="00442B4C"/>
    <w:rsid w:val="00443C9B"/>
    <w:rsid w:val="00444546"/>
    <w:rsid w:val="004446BE"/>
    <w:rsid w:val="004458FE"/>
    <w:rsid w:val="00445928"/>
    <w:rsid w:val="00446345"/>
    <w:rsid w:val="00446A28"/>
    <w:rsid w:val="0044751B"/>
    <w:rsid w:val="004475B8"/>
    <w:rsid w:val="00450895"/>
    <w:rsid w:val="00451B7F"/>
    <w:rsid w:val="00451D58"/>
    <w:rsid w:val="00451DB4"/>
    <w:rsid w:val="00451FAE"/>
    <w:rsid w:val="00451FF5"/>
    <w:rsid w:val="004541B4"/>
    <w:rsid w:val="00454F64"/>
    <w:rsid w:val="00455410"/>
    <w:rsid w:val="00455601"/>
    <w:rsid w:val="004556A0"/>
    <w:rsid w:val="00455F1A"/>
    <w:rsid w:val="00456F08"/>
    <w:rsid w:val="0045744A"/>
    <w:rsid w:val="00457D0D"/>
    <w:rsid w:val="00457F58"/>
    <w:rsid w:val="00460BDC"/>
    <w:rsid w:val="004613CD"/>
    <w:rsid w:val="00461455"/>
    <w:rsid w:val="00462346"/>
    <w:rsid w:val="004644BF"/>
    <w:rsid w:val="00464CAC"/>
    <w:rsid w:val="0046534F"/>
    <w:rsid w:val="004658AF"/>
    <w:rsid w:val="004658EA"/>
    <w:rsid w:val="00466128"/>
    <w:rsid w:val="00466422"/>
    <w:rsid w:val="004666B9"/>
    <w:rsid w:val="00466AD6"/>
    <w:rsid w:val="00470C66"/>
    <w:rsid w:val="00471E1F"/>
    <w:rsid w:val="00472322"/>
    <w:rsid w:val="00472775"/>
    <w:rsid w:val="00473151"/>
    <w:rsid w:val="0047338B"/>
    <w:rsid w:val="00474631"/>
    <w:rsid w:val="00475083"/>
    <w:rsid w:val="0047616A"/>
    <w:rsid w:val="00477261"/>
    <w:rsid w:val="00477A39"/>
    <w:rsid w:val="00481C95"/>
    <w:rsid w:val="00481D36"/>
    <w:rsid w:val="00481D50"/>
    <w:rsid w:val="00483358"/>
    <w:rsid w:val="00483840"/>
    <w:rsid w:val="004839B5"/>
    <w:rsid w:val="004843D6"/>
    <w:rsid w:val="0048485E"/>
    <w:rsid w:val="00484CFB"/>
    <w:rsid w:val="00485C1E"/>
    <w:rsid w:val="0048601B"/>
    <w:rsid w:val="00486E2E"/>
    <w:rsid w:val="00486EF8"/>
    <w:rsid w:val="00487C35"/>
    <w:rsid w:val="00487DF3"/>
    <w:rsid w:val="00490109"/>
    <w:rsid w:val="0049090E"/>
    <w:rsid w:val="00492038"/>
    <w:rsid w:val="004923E2"/>
    <w:rsid w:val="00492845"/>
    <w:rsid w:val="00492F5F"/>
    <w:rsid w:val="00493231"/>
    <w:rsid w:val="00493C30"/>
    <w:rsid w:val="00493FCD"/>
    <w:rsid w:val="004943C5"/>
    <w:rsid w:val="00494450"/>
    <w:rsid w:val="00495F5E"/>
    <w:rsid w:val="00496F76"/>
    <w:rsid w:val="0049713F"/>
    <w:rsid w:val="00497E1F"/>
    <w:rsid w:val="004A1090"/>
    <w:rsid w:val="004A113D"/>
    <w:rsid w:val="004A11AE"/>
    <w:rsid w:val="004A1B3F"/>
    <w:rsid w:val="004A252B"/>
    <w:rsid w:val="004A2AA3"/>
    <w:rsid w:val="004A3B3F"/>
    <w:rsid w:val="004A4CDA"/>
    <w:rsid w:val="004A51F4"/>
    <w:rsid w:val="004A51FE"/>
    <w:rsid w:val="004A6A01"/>
    <w:rsid w:val="004A6A64"/>
    <w:rsid w:val="004A6FAC"/>
    <w:rsid w:val="004A740C"/>
    <w:rsid w:val="004B026F"/>
    <w:rsid w:val="004B02B7"/>
    <w:rsid w:val="004B0485"/>
    <w:rsid w:val="004B0751"/>
    <w:rsid w:val="004B0CBE"/>
    <w:rsid w:val="004B1393"/>
    <w:rsid w:val="004B1633"/>
    <w:rsid w:val="004B1773"/>
    <w:rsid w:val="004B2F5E"/>
    <w:rsid w:val="004B37DE"/>
    <w:rsid w:val="004B4D2D"/>
    <w:rsid w:val="004B529C"/>
    <w:rsid w:val="004B6145"/>
    <w:rsid w:val="004B6A7B"/>
    <w:rsid w:val="004B6B1E"/>
    <w:rsid w:val="004B6BB8"/>
    <w:rsid w:val="004B6D11"/>
    <w:rsid w:val="004B752D"/>
    <w:rsid w:val="004C04DC"/>
    <w:rsid w:val="004C2038"/>
    <w:rsid w:val="004C28F5"/>
    <w:rsid w:val="004C319E"/>
    <w:rsid w:val="004C35AC"/>
    <w:rsid w:val="004C40D8"/>
    <w:rsid w:val="004C51B6"/>
    <w:rsid w:val="004C5994"/>
    <w:rsid w:val="004C7061"/>
    <w:rsid w:val="004C72F1"/>
    <w:rsid w:val="004C7803"/>
    <w:rsid w:val="004C7C25"/>
    <w:rsid w:val="004D0604"/>
    <w:rsid w:val="004D1419"/>
    <w:rsid w:val="004D17B0"/>
    <w:rsid w:val="004D18B8"/>
    <w:rsid w:val="004D38B3"/>
    <w:rsid w:val="004D3991"/>
    <w:rsid w:val="004D39F5"/>
    <w:rsid w:val="004D3AD1"/>
    <w:rsid w:val="004D4443"/>
    <w:rsid w:val="004D48D7"/>
    <w:rsid w:val="004D4F95"/>
    <w:rsid w:val="004D5320"/>
    <w:rsid w:val="004D6D23"/>
    <w:rsid w:val="004E04F1"/>
    <w:rsid w:val="004E0EA3"/>
    <w:rsid w:val="004E15DC"/>
    <w:rsid w:val="004E242E"/>
    <w:rsid w:val="004E2C16"/>
    <w:rsid w:val="004E3340"/>
    <w:rsid w:val="004E3B22"/>
    <w:rsid w:val="004E4453"/>
    <w:rsid w:val="004E4613"/>
    <w:rsid w:val="004E4ADB"/>
    <w:rsid w:val="004E4EE4"/>
    <w:rsid w:val="004E60CC"/>
    <w:rsid w:val="004E6107"/>
    <w:rsid w:val="004E687A"/>
    <w:rsid w:val="004E6A1D"/>
    <w:rsid w:val="004E6B36"/>
    <w:rsid w:val="004E6CE4"/>
    <w:rsid w:val="004E6EA7"/>
    <w:rsid w:val="004F12E9"/>
    <w:rsid w:val="004F1AC4"/>
    <w:rsid w:val="004F1D8C"/>
    <w:rsid w:val="004F21A7"/>
    <w:rsid w:val="004F2ECA"/>
    <w:rsid w:val="004F3AF5"/>
    <w:rsid w:val="004F49B3"/>
    <w:rsid w:val="004F766E"/>
    <w:rsid w:val="004F7CC2"/>
    <w:rsid w:val="004F7FDC"/>
    <w:rsid w:val="005003C2"/>
    <w:rsid w:val="005010AA"/>
    <w:rsid w:val="005015EC"/>
    <w:rsid w:val="005028E0"/>
    <w:rsid w:val="00503A30"/>
    <w:rsid w:val="00503B4D"/>
    <w:rsid w:val="00504F0C"/>
    <w:rsid w:val="00504FC7"/>
    <w:rsid w:val="00505014"/>
    <w:rsid w:val="005058FA"/>
    <w:rsid w:val="005072D2"/>
    <w:rsid w:val="00507597"/>
    <w:rsid w:val="005109AE"/>
    <w:rsid w:val="00511EAE"/>
    <w:rsid w:val="00511FB2"/>
    <w:rsid w:val="00512228"/>
    <w:rsid w:val="00512956"/>
    <w:rsid w:val="005134CA"/>
    <w:rsid w:val="00513EF3"/>
    <w:rsid w:val="0051410B"/>
    <w:rsid w:val="00514B15"/>
    <w:rsid w:val="00514FCE"/>
    <w:rsid w:val="00515194"/>
    <w:rsid w:val="00516459"/>
    <w:rsid w:val="00517FCB"/>
    <w:rsid w:val="0052118E"/>
    <w:rsid w:val="00521D8B"/>
    <w:rsid w:val="0052200A"/>
    <w:rsid w:val="005226FC"/>
    <w:rsid w:val="0052369B"/>
    <w:rsid w:val="00523A75"/>
    <w:rsid w:val="00523DC0"/>
    <w:rsid w:val="005240F1"/>
    <w:rsid w:val="005244BE"/>
    <w:rsid w:val="00524577"/>
    <w:rsid w:val="00524A9E"/>
    <w:rsid w:val="00525447"/>
    <w:rsid w:val="0052553D"/>
    <w:rsid w:val="00525D86"/>
    <w:rsid w:val="00526772"/>
    <w:rsid w:val="0052790B"/>
    <w:rsid w:val="00527FCF"/>
    <w:rsid w:val="005315E8"/>
    <w:rsid w:val="0053209B"/>
    <w:rsid w:val="005329D6"/>
    <w:rsid w:val="00532A5C"/>
    <w:rsid w:val="00532B52"/>
    <w:rsid w:val="00533001"/>
    <w:rsid w:val="00533A3D"/>
    <w:rsid w:val="00533EC7"/>
    <w:rsid w:val="00534202"/>
    <w:rsid w:val="005344B5"/>
    <w:rsid w:val="00536DBC"/>
    <w:rsid w:val="005407A5"/>
    <w:rsid w:val="00540CF6"/>
    <w:rsid w:val="00541241"/>
    <w:rsid w:val="00541359"/>
    <w:rsid w:val="00541438"/>
    <w:rsid w:val="00541F3D"/>
    <w:rsid w:val="00541FD5"/>
    <w:rsid w:val="00542064"/>
    <w:rsid w:val="00542BFB"/>
    <w:rsid w:val="00544006"/>
    <w:rsid w:val="0054416F"/>
    <w:rsid w:val="005456AE"/>
    <w:rsid w:val="00545721"/>
    <w:rsid w:val="00545F48"/>
    <w:rsid w:val="00546790"/>
    <w:rsid w:val="005476E2"/>
    <w:rsid w:val="005478F9"/>
    <w:rsid w:val="005503FA"/>
    <w:rsid w:val="00550BA2"/>
    <w:rsid w:val="00550FF5"/>
    <w:rsid w:val="0055253D"/>
    <w:rsid w:val="005528C6"/>
    <w:rsid w:val="00552D1A"/>
    <w:rsid w:val="00552D55"/>
    <w:rsid w:val="005542E5"/>
    <w:rsid w:val="00554797"/>
    <w:rsid w:val="00554E8F"/>
    <w:rsid w:val="00555370"/>
    <w:rsid w:val="00555436"/>
    <w:rsid w:val="00555D04"/>
    <w:rsid w:val="00555F50"/>
    <w:rsid w:val="005564BE"/>
    <w:rsid w:val="005570FD"/>
    <w:rsid w:val="00557510"/>
    <w:rsid w:val="00557BC2"/>
    <w:rsid w:val="00557D85"/>
    <w:rsid w:val="00557ECB"/>
    <w:rsid w:val="0056014A"/>
    <w:rsid w:val="005601AE"/>
    <w:rsid w:val="0056193C"/>
    <w:rsid w:val="005628A0"/>
    <w:rsid w:val="00562D64"/>
    <w:rsid w:val="0056406B"/>
    <w:rsid w:val="00564A2B"/>
    <w:rsid w:val="00564C35"/>
    <w:rsid w:val="00565239"/>
    <w:rsid w:val="00567305"/>
    <w:rsid w:val="00567DF0"/>
    <w:rsid w:val="00570466"/>
    <w:rsid w:val="005705BC"/>
    <w:rsid w:val="00570B9F"/>
    <w:rsid w:val="00571850"/>
    <w:rsid w:val="00572954"/>
    <w:rsid w:val="00572B49"/>
    <w:rsid w:val="00572FF9"/>
    <w:rsid w:val="005747A9"/>
    <w:rsid w:val="00574BCB"/>
    <w:rsid w:val="005750BF"/>
    <w:rsid w:val="00575201"/>
    <w:rsid w:val="0057567E"/>
    <w:rsid w:val="00575E7C"/>
    <w:rsid w:val="00576DB5"/>
    <w:rsid w:val="005779DB"/>
    <w:rsid w:val="005802C8"/>
    <w:rsid w:val="005808BA"/>
    <w:rsid w:val="00580F6D"/>
    <w:rsid w:val="00581438"/>
    <w:rsid w:val="00582E08"/>
    <w:rsid w:val="00582FA0"/>
    <w:rsid w:val="00585638"/>
    <w:rsid w:val="005856BF"/>
    <w:rsid w:val="00587616"/>
    <w:rsid w:val="005878AE"/>
    <w:rsid w:val="00587914"/>
    <w:rsid w:val="00590B1A"/>
    <w:rsid w:val="0059218F"/>
    <w:rsid w:val="00593D1C"/>
    <w:rsid w:val="00593DA6"/>
    <w:rsid w:val="00594785"/>
    <w:rsid w:val="00595DA3"/>
    <w:rsid w:val="00597319"/>
    <w:rsid w:val="00597C97"/>
    <w:rsid w:val="005A0306"/>
    <w:rsid w:val="005A06DF"/>
    <w:rsid w:val="005A0C2D"/>
    <w:rsid w:val="005A17BB"/>
    <w:rsid w:val="005A1A05"/>
    <w:rsid w:val="005A1E65"/>
    <w:rsid w:val="005A289E"/>
    <w:rsid w:val="005A3807"/>
    <w:rsid w:val="005A3AB6"/>
    <w:rsid w:val="005A4C7F"/>
    <w:rsid w:val="005A51BC"/>
    <w:rsid w:val="005A641D"/>
    <w:rsid w:val="005A64C5"/>
    <w:rsid w:val="005A667F"/>
    <w:rsid w:val="005A6BB4"/>
    <w:rsid w:val="005A7A50"/>
    <w:rsid w:val="005B13D5"/>
    <w:rsid w:val="005B1AD1"/>
    <w:rsid w:val="005B2459"/>
    <w:rsid w:val="005B2A84"/>
    <w:rsid w:val="005B3887"/>
    <w:rsid w:val="005B45D2"/>
    <w:rsid w:val="005B4F0C"/>
    <w:rsid w:val="005B519D"/>
    <w:rsid w:val="005B5682"/>
    <w:rsid w:val="005B6BD8"/>
    <w:rsid w:val="005B712B"/>
    <w:rsid w:val="005B76D8"/>
    <w:rsid w:val="005C0931"/>
    <w:rsid w:val="005C09AE"/>
    <w:rsid w:val="005C155B"/>
    <w:rsid w:val="005C19DC"/>
    <w:rsid w:val="005C1D5E"/>
    <w:rsid w:val="005C2294"/>
    <w:rsid w:val="005C2695"/>
    <w:rsid w:val="005C43FE"/>
    <w:rsid w:val="005C48DD"/>
    <w:rsid w:val="005C4AD4"/>
    <w:rsid w:val="005C53FD"/>
    <w:rsid w:val="005D0128"/>
    <w:rsid w:val="005D02D7"/>
    <w:rsid w:val="005D060C"/>
    <w:rsid w:val="005D0A34"/>
    <w:rsid w:val="005D0FF7"/>
    <w:rsid w:val="005D1A9F"/>
    <w:rsid w:val="005D1BD9"/>
    <w:rsid w:val="005D1E25"/>
    <w:rsid w:val="005D2762"/>
    <w:rsid w:val="005D2BB0"/>
    <w:rsid w:val="005D2D98"/>
    <w:rsid w:val="005D2F2C"/>
    <w:rsid w:val="005D40E5"/>
    <w:rsid w:val="005D4CE1"/>
    <w:rsid w:val="005D5674"/>
    <w:rsid w:val="005D5B66"/>
    <w:rsid w:val="005D60FA"/>
    <w:rsid w:val="005D625D"/>
    <w:rsid w:val="005D62C6"/>
    <w:rsid w:val="005D68A6"/>
    <w:rsid w:val="005D68B2"/>
    <w:rsid w:val="005D69BC"/>
    <w:rsid w:val="005D6AAF"/>
    <w:rsid w:val="005D7060"/>
    <w:rsid w:val="005D7752"/>
    <w:rsid w:val="005D7CF6"/>
    <w:rsid w:val="005E0BA9"/>
    <w:rsid w:val="005E123A"/>
    <w:rsid w:val="005E134B"/>
    <w:rsid w:val="005E16D7"/>
    <w:rsid w:val="005E1923"/>
    <w:rsid w:val="005E1EDC"/>
    <w:rsid w:val="005E2925"/>
    <w:rsid w:val="005E31F6"/>
    <w:rsid w:val="005E4ED8"/>
    <w:rsid w:val="005E526F"/>
    <w:rsid w:val="005E6968"/>
    <w:rsid w:val="005E7089"/>
    <w:rsid w:val="005E75E7"/>
    <w:rsid w:val="005F005C"/>
    <w:rsid w:val="005F05FE"/>
    <w:rsid w:val="005F08F2"/>
    <w:rsid w:val="005F0CA6"/>
    <w:rsid w:val="005F0D44"/>
    <w:rsid w:val="005F1775"/>
    <w:rsid w:val="005F1D87"/>
    <w:rsid w:val="005F3B6F"/>
    <w:rsid w:val="005F3DEA"/>
    <w:rsid w:val="005F3FD5"/>
    <w:rsid w:val="005F4A6D"/>
    <w:rsid w:val="005F57A8"/>
    <w:rsid w:val="005F58BA"/>
    <w:rsid w:val="005F61CB"/>
    <w:rsid w:val="005F66CD"/>
    <w:rsid w:val="005F78D4"/>
    <w:rsid w:val="0060049B"/>
    <w:rsid w:val="0060069B"/>
    <w:rsid w:val="00600A30"/>
    <w:rsid w:val="00600E25"/>
    <w:rsid w:val="0060132B"/>
    <w:rsid w:val="00601634"/>
    <w:rsid w:val="00601DF7"/>
    <w:rsid w:val="00602D7B"/>
    <w:rsid w:val="00602EB2"/>
    <w:rsid w:val="00602FCE"/>
    <w:rsid w:val="006030A6"/>
    <w:rsid w:val="006036FC"/>
    <w:rsid w:val="00603748"/>
    <w:rsid w:val="00603B3D"/>
    <w:rsid w:val="0060447A"/>
    <w:rsid w:val="006045A1"/>
    <w:rsid w:val="006046EC"/>
    <w:rsid w:val="0060494C"/>
    <w:rsid w:val="006053B2"/>
    <w:rsid w:val="00605717"/>
    <w:rsid w:val="00605B5D"/>
    <w:rsid w:val="0060600A"/>
    <w:rsid w:val="00606F77"/>
    <w:rsid w:val="00607024"/>
    <w:rsid w:val="00607248"/>
    <w:rsid w:val="006077B6"/>
    <w:rsid w:val="00610208"/>
    <w:rsid w:val="0061421F"/>
    <w:rsid w:val="0061493F"/>
    <w:rsid w:val="006155F3"/>
    <w:rsid w:val="00615628"/>
    <w:rsid w:val="00616154"/>
    <w:rsid w:val="006163FA"/>
    <w:rsid w:val="006166B6"/>
    <w:rsid w:val="006169AC"/>
    <w:rsid w:val="00616B70"/>
    <w:rsid w:val="00616C77"/>
    <w:rsid w:val="0062062E"/>
    <w:rsid w:val="006215D0"/>
    <w:rsid w:val="006215E4"/>
    <w:rsid w:val="00621875"/>
    <w:rsid w:val="006227B1"/>
    <w:rsid w:val="00622AF5"/>
    <w:rsid w:val="00622B48"/>
    <w:rsid w:val="00623917"/>
    <w:rsid w:val="00624B54"/>
    <w:rsid w:val="00625A7C"/>
    <w:rsid w:val="00625CA8"/>
    <w:rsid w:val="006265D9"/>
    <w:rsid w:val="006273C7"/>
    <w:rsid w:val="00630081"/>
    <w:rsid w:val="006304FE"/>
    <w:rsid w:val="00630D08"/>
    <w:rsid w:val="00631D58"/>
    <w:rsid w:val="00632779"/>
    <w:rsid w:val="006329BF"/>
    <w:rsid w:val="00632D04"/>
    <w:rsid w:val="00632EA3"/>
    <w:rsid w:val="00633000"/>
    <w:rsid w:val="00633456"/>
    <w:rsid w:val="006343F5"/>
    <w:rsid w:val="006344ED"/>
    <w:rsid w:val="00634952"/>
    <w:rsid w:val="00635B31"/>
    <w:rsid w:val="00637C85"/>
    <w:rsid w:val="00637CF9"/>
    <w:rsid w:val="00637DD3"/>
    <w:rsid w:val="00637FFC"/>
    <w:rsid w:val="00640B06"/>
    <w:rsid w:val="00640B08"/>
    <w:rsid w:val="00642E03"/>
    <w:rsid w:val="00643B23"/>
    <w:rsid w:val="00643D38"/>
    <w:rsid w:val="00644764"/>
    <w:rsid w:val="00644CD2"/>
    <w:rsid w:val="00644FE5"/>
    <w:rsid w:val="006457A7"/>
    <w:rsid w:val="00645B07"/>
    <w:rsid w:val="0064613C"/>
    <w:rsid w:val="006470F7"/>
    <w:rsid w:val="00647251"/>
    <w:rsid w:val="00647DF4"/>
    <w:rsid w:val="00647F23"/>
    <w:rsid w:val="00650871"/>
    <w:rsid w:val="00651B4C"/>
    <w:rsid w:val="00652456"/>
    <w:rsid w:val="00652469"/>
    <w:rsid w:val="00652CDA"/>
    <w:rsid w:val="00652F34"/>
    <w:rsid w:val="00654C5B"/>
    <w:rsid w:val="00654E79"/>
    <w:rsid w:val="00655051"/>
    <w:rsid w:val="006550AD"/>
    <w:rsid w:val="00655524"/>
    <w:rsid w:val="00655AE2"/>
    <w:rsid w:val="00656DF0"/>
    <w:rsid w:val="00656E60"/>
    <w:rsid w:val="00657195"/>
    <w:rsid w:val="00657608"/>
    <w:rsid w:val="006577C7"/>
    <w:rsid w:val="0066178C"/>
    <w:rsid w:val="00661A7F"/>
    <w:rsid w:val="00661FCC"/>
    <w:rsid w:val="0066233D"/>
    <w:rsid w:val="006623CA"/>
    <w:rsid w:val="006627A0"/>
    <w:rsid w:val="00663673"/>
    <w:rsid w:val="0066367F"/>
    <w:rsid w:val="006643E1"/>
    <w:rsid w:val="00665E62"/>
    <w:rsid w:val="0066658A"/>
    <w:rsid w:val="0066693A"/>
    <w:rsid w:val="0066698D"/>
    <w:rsid w:val="006678C1"/>
    <w:rsid w:val="00667A39"/>
    <w:rsid w:val="00670059"/>
    <w:rsid w:val="00670C67"/>
    <w:rsid w:val="00670DCC"/>
    <w:rsid w:val="0067148B"/>
    <w:rsid w:val="0067157C"/>
    <w:rsid w:val="00671925"/>
    <w:rsid w:val="00671C6F"/>
    <w:rsid w:val="00671FD2"/>
    <w:rsid w:val="00672192"/>
    <w:rsid w:val="006721CA"/>
    <w:rsid w:val="0067231C"/>
    <w:rsid w:val="0067256A"/>
    <w:rsid w:val="00672584"/>
    <w:rsid w:val="00674652"/>
    <w:rsid w:val="00674680"/>
    <w:rsid w:val="00674C7D"/>
    <w:rsid w:val="00675049"/>
    <w:rsid w:val="00675FE7"/>
    <w:rsid w:val="006760CD"/>
    <w:rsid w:val="00676A5A"/>
    <w:rsid w:val="00677B7C"/>
    <w:rsid w:val="006802ED"/>
    <w:rsid w:val="006802F0"/>
    <w:rsid w:val="00680C5D"/>
    <w:rsid w:val="0068136C"/>
    <w:rsid w:val="006818F2"/>
    <w:rsid w:val="006818FA"/>
    <w:rsid w:val="00681DDA"/>
    <w:rsid w:val="00682250"/>
    <w:rsid w:val="00682A29"/>
    <w:rsid w:val="00682AEF"/>
    <w:rsid w:val="00682C00"/>
    <w:rsid w:val="00682D81"/>
    <w:rsid w:val="00683706"/>
    <w:rsid w:val="00684967"/>
    <w:rsid w:val="00684C29"/>
    <w:rsid w:val="006858B4"/>
    <w:rsid w:val="00687E04"/>
    <w:rsid w:val="00690002"/>
    <w:rsid w:val="006903F5"/>
    <w:rsid w:val="006904C7"/>
    <w:rsid w:val="0069083F"/>
    <w:rsid w:val="006915D8"/>
    <w:rsid w:val="00691923"/>
    <w:rsid w:val="00691CA2"/>
    <w:rsid w:val="0069313E"/>
    <w:rsid w:val="006933F0"/>
    <w:rsid w:val="0069340B"/>
    <w:rsid w:val="006948DA"/>
    <w:rsid w:val="00694942"/>
    <w:rsid w:val="006949A4"/>
    <w:rsid w:val="00696544"/>
    <w:rsid w:val="00697640"/>
    <w:rsid w:val="00697704"/>
    <w:rsid w:val="006979BC"/>
    <w:rsid w:val="00697C8C"/>
    <w:rsid w:val="00697CA5"/>
    <w:rsid w:val="006A0F20"/>
    <w:rsid w:val="006A1909"/>
    <w:rsid w:val="006A19B8"/>
    <w:rsid w:val="006A29DA"/>
    <w:rsid w:val="006A3411"/>
    <w:rsid w:val="006A4D5C"/>
    <w:rsid w:val="006A528E"/>
    <w:rsid w:val="006A7A8B"/>
    <w:rsid w:val="006B0BEF"/>
    <w:rsid w:val="006B125C"/>
    <w:rsid w:val="006B2240"/>
    <w:rsid w:val="006B28D8"/>
    <w:rsid w:val="006B2ABE"/>
    <w:rsid w:val="006B2EFF"/>
    <w:rsid w:val="006B2F77"/>
    <w:rsid w:val="006B3A6C"/>
    <w:rsid w:val="006B3EAA"/>
    <w:rsid w:val="006B4738"/>
    <w:rsid w:val="006B55EA"/>
    <w:rsid w:val="006B5E4B"/>
    <w:rsid w:val="006B73CE"/>
    <w:rsid w:val="006B75B9"/>
    <w:rsid w:val="006B7D03"/>
    <w:rsid w:val="006C08D0"/>
    <w:rsid w:val="006C08F7"/>
    <w:rsid w:val="006C09EA"/>
    <w:rsid w:val="006C0D0F"/>
    <w:rsid w:val="006C0E60"/>
    <w:rsid w:val="006C0F2E"/>
    <w:rsid w:val="006C123F"/>
    <w:rsid w:val="006C124C"/>
    <w:rsid w:val="006C1482"/>
    <w:rsid w:val="006C20AB"/>
    <w:rsid w:val="006C24CE"/>
    <w:rsid w:val="006C28EE"/>
    <w:rsid w:val="006C2F8F"/>
    <w:rsid w:val="006C34D2"/>
    <w:rsid w:val="006C3C24"/>
    <w:rsid w:val="006C45FC"/>
    <w:rsid w:val="006C474D"/>
    <w:rsid w:val="006C4F59"/>
    <w:rsid w:val="006C596C"/>
    <w:rsid w:val="006C5ABC"/>
    <w:rsid w:val="006C5FB6"/>
    <w:rsid w:val="006C6262"/>
    <w:rsid w:val="006C6943"/>
    <w:rsid w:val="006C77D7"/>
    <w:rsid w:val="006D0CBF"/>
    <w:rsid w:val="006D0FC2"/>
    <w:rsid w:val="006D1351"/>
    <w:rsid w:val="006D1A08"/>
    <w:rsid w:val="006D1AAC"/>
    <w:rsid w:val="006D2D55"/>
    <w:rsid w:val="006D3222"/>
    <w:rsid w:val="006D6254"/>
    <w:rsid w:val="006D62BE"/>
    <w:rsid w:val="006D7784"/>
    <w:rsid w:val="006E00BC"/>
    <w:rsid w:val="006E1C47"/>
    <w:rsid w:val="006E1EC8"/>
    <w:rsid w:val="006E2E12"/>
    <w:rsid w:val="006E3A1F"/>
    <w:rsid w:val="006E3B68"/>
    <w:rsid w:val="006E3CEB"/>
    <w:rsid w:val="006E4276"/>
    <w:rsid w:val="006E4D07"/>
    <w:rsid w:val="006E6F03"/>
    <w:rsid w:val="006F0088"/>
    <w:rsid w:val="006F14BA"/>
    <w:rsid w:val="006F2335"/>
    <w:rsid w:val="006F2FA2"/>
    <w:rsid w:val="006F4C63"/>
    <w:rsid w:val="006F56DC"/>
    <w:rsid w:val="00700139"/>
    <w:rsid w:val="0070091E"/>
    <w:rsid w:val="00700C0B"/>
    <w:rsid w:val="00701C8D"/>
    <w:rsid w:val="0070379C"/>
    <w:rsid w:val="00703AF2"/>
    <w:rsid w:val="0070418F"/>
    <w:rsid w:val="00704876"/>
    <w:rsid w:val="007048E4"/>
    <w:rsid w:val="00704E0B"/>
    <w:rsid w:val="007056F9"/>
    <w:rsid w:val="007067BD"/>
    <w:rsid w:val="0070709C"/>
    <w:rsid w:val="00707171"/>
    <w:rsid w:val="0070721E"/>
    <w:rsid w:val="007114DE"/>
    <w:rsid w:val="0071177A"/>
    <w:rsid w:val="00711C86"/>
    <w:rsid w:val="007129BA"/>
    <w:rsid w:val="00712B74"/>
    <w:rsid w:val="0071300F"/>
    <w:rsid w:val="00713A3B"/>
    <w:rsid w:val="0071490E"/>
    <w:rsid w:val="007150AD"/>
    <w:rsid w:val="00715A1F"/>
    <w:rsid w:val="0071684D"/>
    <w:rsid w:val="00716C76"/>
    <w:rsid w:val="007173B3"/>
    <w:rsid w:val="007203C4"/>
    <w:rsid w:val="00720F67"/>
    <w:rsid w:val="007213DB"/>
    <w:rsid w:val="007218E1"/>
    <w:rsid w:val="00721C87"/>
    <w:rsid w:val="00721F13"/>
    <w:rsid w:val="00722FBF"/>
    <w:rsid w:val="00723061"/>
    <w:rsid w:val="00724243"/>
    <w:rsid w:val="00725993"/>
    <w:rsid w:val="00726177"/>
    <w:rsid w:val="007267FD"/>
    <w:rsid w:val="0072683F"/>
    <w:rsid w:val="00726E38"/>
    <w:rsid w:val="007274BE"/>
    <w:rsid w:val="00727669"/>
    <w:rsid w:val="00727927"/>
    <w:rsid w:val="007320D6"/>
    <w:rsid w:val="0073348A"/>
    <w:rsid w:val="007334C0"/>
    <w:rsid w:val="007346D0"/>
    <w:rsid w:val="00734ACD"/>
    <w:rsid w:val="007356DC"/>
    <w:rsid w:val="00736166"/>
    <w:rsid w:val="0073629B"/>
    <w:rsid w:val="00736872"/>
    <w:rsid w:val="00736D93"/>
    <w:rsid w:val="0074012A"/>
    <w:rsid w:val="00740B10"/>
    <w:rsid w:val="00740C04"/>
    <w:rsid w:val="00741CC9"/>
    <w:rsid w:val="00741CEE"/>
    <w:rsid w:val="00742167"/>
    <w:rsid w:val="00743446"/>
    <w:rsid w:val="00743652"/>
    <w:rsid w:val="007439D0"/>
    <w:rsid w:val="00744482"/>
    <w:rsid w:val="007500A3"/>
    <w:rsid w:val="0075069C"/>
    <w:rsid w:val="007525AE"/>
    <w:rsid w:val="0075347C"/>
    <w:rsid w:val="00753817"/>
    <w:rsid w:val="00754564"/>
    <w:rsid w:val="007546C4"/>
    <w:rsid w:val="00755C03"/>
    <w:rsid w:val="00756D4A"/>
    <w:rsid w:val="00756DE1"/>
    <w:rsid w:val="0076035D"/>
    <w:rsid w:val="00760A11"/>
    <w:rsid w:val="00761343"/>
    <w:rsid w:val="0076141B"/>
    <w:rsid w:val="00762C4D"/>
    <w:rsid w:val="00762E21"/>
    <w:rsid w:val="00762FB4"/>
    <w:rsid w:val="00763076"/>
    <w:rsid w:val="00763324"/>
    <w:rsid w:val="00763452"/>
    <w:rsid w:val="007644CE"/>
    <w:rsid w:val="00764947"/>
    <w:rsid w:val="00767CD2"/>
    <w:rsid w:val="007701FF"/>
    <w:rsid w:val="00770674"/>
    <w:rsid w:val="0077244F"/>
    <w:rsid w:val="00772E59"/>
    <w:rsid w:val="007737D9"/>
    <w:rsid w:val="0077394F"/>
    <w:rsid w:val="00773F9D"/>
    <w:rsid w:val="0077544A"/>
    <w:rsid w:val="00775843"/>
    <w:rsid w:val="00775DBA"/>
    <w:rsid w:val="00775E17"/>
    <w:rsid w:val="0077748A"/>
    <w:rsid w:val="00777DD5"/>
    <w:rsid w:val="00780E6C"/>
    <w:rsid w:val="007822A3"/>
    <w:rsid w:val="00782C87"/>
    <w:rsid w:val="0078323F"/>
    <w:rsid w:val="007843BD"/>
    <w:rsid w:val="00784ECF"/>
    <w:rsid w:val="00784F55"/>
    <w:rsid w:val="00786585"/>
    <w:rsid w:val="00786DBE"/>
    <w:rsid w:val="007874AB"/>
    <w:rsid w:val="007879C9"/>
    <w:rsid w:val="007915B2"/>
    <w:rsid w:val="0079185C"/>
    <w:rsid w:val="007919A9"/>
    <w:rsid w:val="0079359F"/>
    <w:rsid w:val="0079360E"/>
    <w:rsid w:val="007936BB"/>
    <w:rsid w:val="00793C7E"/>
    <w:rsid w:val="00793CBB"/>
    <w:rsid w:val="00793D19"/>
    <w:rsid w:val="00793F20"/>
    <w:rsid w:val="0079541E"/>
    <w:rsid w:val="00795945"/>
    <w:rsid w:val="00796747"/>
    <w:rsid w:val="00797F6F"/>
    <w:rsid w:val="007A0603"/>
    <w:rsid w:val="007A0614"/>
    <w:rsid w:val="007A0ADE"/>
    <w:rsid w:val="007A1380"/>
    <w:rsid w:val="007A1EA4"/>
    <w:rsid w:val="007A22BC"/>
    <w:rsid w:val="007A30F1"/>
    <w:rsid w:val="007A3312"/>
    <w:rsid w:val="007A3EEA"/>
    <w:rsid w:val="007A4446"/>
    <w:rsid w:val="007A4754"/>
    <w:rsid w:val="007A5150"/>
    <w:rsid w:val="007A5984"/>
    <w:rsid w:val="007A68F8"/>
    <w:rsid w:val="007A6C15"/>
    <w:rsid w:val="007A7314"/>
    <w:rsid w:val="007A7424"/>
    <w:rsid w:val="007A752C"/>
    <w:rsid w:val="007A7D1D"/>
    <w:rsid w:val="007B02AB"/>
    <w:rsid w:val="007B075B"/>
    <w:rsid w:val="007B0982"/>
    <w:rsid w:val="007B0FB4"/>
    <w:rsid w:val="007B102F"/>
    <w:rsid w:val="007B16CE"/>
    <w:rsid w:val="007B1A33"/>
    <w:rsid w:val="007B2A60"/>
    <w:rsid w:val="007B2D6A"/>
    <w:rsid w:val="007B3E60"/>
    <w:rsid w:val="007B4159"/>
    <w:rsid w:val="007B44A5"/>
    <w:rsid w:val="007B5366"/>
    <w:rsid w:val="007B5C74"/>
    <w:rsid w:val="007B5E93"/>
    <w:rsid w:val="007B6227"/>
    <w:rsid w:val="007B6EFD"/>
    <w:rsid w:val="007C001F"/>
    <w:rsid w:val="007C097F"/>
    <w:rsid w:val="007C1A0E"/>
    <w:rsid w:val="007C4377"/>
    <w:rsid w:val="007C4626"/>
    <w:rsid w:val="007C520F"/>
    <w:rsid w:val="007C557A"/>
    <w:rsid w:val="007C7B8C"/>
    <w:rsid w:val="007C7F4D"/>
    <w:rsid w:val="007D05A3"/>
    <w:rsid w:val="007D1E50"/>
    <w:rsid w:val="007D2240"/>
    <w:rsid w:val="007D37CF"/>
    <w:rsid w:val="007D399E"/>
    <w:rsid w:val="007D4BA7"/>
    <w:rsid w:val="007D6171"/>
    <w:rsid w:val="007D68D1"/>
    <w:rsid w:val="007D6C7A"/>
    <w:rsid w:val="007D6D5A"/>
    <w:rsid w:val="007D6DA6"/>
    <w:rsid w:val="007D766D"/>
    <w:rsid w:val="007D7A42"/>
    <w:rsid w:val="007D7EB9"/>
    <w:rsid w:val="007E3A04"/>
    <w:rsid w:val="007E3F1D"/>
    <w:rsid w:val="007E4059"/>
    <w:rsid w:val="007E54F2"/>
    <w:rsid w:val="007E6337"/>
    <w:rsid w:val="007E6F23"/>
    <w:rsid w:val="007E6F92"/>
    <w:rsid w:val="007E702C"/>
    <w:rsid w:val="007E75AF"/>
    <w:rsid w:val="007F0720"/>
    <w:rsid w:val="007F25C2"/>
    <w:rsid w:val="007F27DF"/>
    <w:rsid w:val="007F3322"/>
    <w:rsid w:val="007F332B"/>
    <w:rsid w:val="007F36F7"/>
    <w:rsid w:val="007F3955"/>
    <w:rsid w:val="007F40FC"/>
    <w:rsid w:val="007F52FC"/>
    <w:rsid w:val="007F5BEA"/>
    <w:rsid w:val="007F5FC0"/>
    <w:rsid w:val="007F6D9C"/>
    <w:rsid w:val="007F7140"/>
    <w:rsid w:val="007F715F"/>
    <w:rsid w:val="007F7E53"/>
    <w:rsid w:val="007F7F5F"/>
    <w:rsid w:val="0080156F"/>
    <w:rsid w:val="008016F1"/>
    <w:rsid w:val="00801E07"/>
    <w:rsid w:val="00802DB8"/>
    <w:rsid w:val="00803478"/>
    <w:rsid w:val="00803B39"/>
    <w:rsid w:val="008044E7"/>
    <w:rsid w:val="00804CE0"/>
    <w:rsid w:val="008061CC"/>
    <w:rsid w:val="00806603"/>
    <w:rsid w:val="00806826"/>
    <w:rsid w:val="00806E62"/>
    <w:rsid w:val="00807876"/>
    <w:rsid w:val="008078FE"/>
    <w:rsid w:val="008100CC"/>
    <w:rsid w:val="008104EA"/>
    <w:rsid w:val="008107B1"/>
    <w:rsid w:val="00811AD0"/>
    <w:rsid w:val="00812012"/>
    <w:rsid w:val="00812156"/>
    <w:rsid w:val="00813C3B"/>
    <w:rsid w:val="00813D50"/>
    <w:rsid w:val="008141E6"/>
    <w:rsid w:val="008143C8"/>
    <w:rsid w:val="0081449A"/>
    <w:rsid w:val="0081510E"/>
    <w:rsid w:val="008155FD"/>
    <w:rsid w:val="00815E4B"/>
    <w:rsid w:val="00816720"/>
    <w:rsid w:val="00816870"/>
    <w:rsid w:val="00816D10"/>
    <w:rsid w:val="008176DE"/>
    <w:rsid w:val="008178FD"/>
    <w:rsid w:val="008228CE"/>
    <w:rsid w:val="00822C75"/>
    <w:rsid w:val="008239EB"/>
    <w:rsid w:val="0082493A"/>
    <w:rsid w:val="00825089"/>
    <w:rsid w:val="008254A4"/>
    <w:rsid w:val="00825B50"/>
    <w:rsid w:val="00825E36"/>
    <w:rsid w:val="0082619D"/>
    <w:rsid w:val="00826683"/>
    <w:rsid w:val="008267D0"/>
    <w:rsid w:val="008274C5"/>
    <w:rsid w:val="0083031C"/>
    <w:rsid w:val="0083094D"/>
    <w:rsid w:val="00830C60"/>
    <w:rsid w:val="00831443"/>
    <w:rsid w:val="00831636"/>
    <w:rsid w:val="00831ADD"/>
    <w:rsid w:val="00831FDB"/>
    <w:rsid w:val="008325F1"/>
    <w:rsid w:val="00833778"/>
    <w:rsid w:val="00833FBB"/>
    <w:rsid w:val="00834C6C"/>
    <w:rsid w:val="00834EC4"/>
    <w:rsid w:val="008353DF"/>
    <w:rsid w:val="008359BE"/>
    <w:rsid w:val="00836DB3"/>
    <w:rsid w:val="0083745B"/>
    <w:rsid w:val="00837967"/>
    <w:rsid w:val="00837A1B"/>
    <w:rsid w:val="00837F43"/>
    <w:rsid w:val="00840E66"/>
    <w:rsid w:val="00841278"/>
    <w:rsid w:val="0084188C"/>
    <w:rsid w:val="00841F2E"/>
    <w:rsid w:val="0084312C"/>
    <w:rsid w:val="00843475"/>
    <w:rsid w:val="00844558"/>
    <w:rsid w:val="00844878"/>
    <w:rsid w:val="00844CF2"/>
    <w:rsid w:val="00844CF8"/>
    <w:rsid w:val="008459FD"/>
    <w:rsid w:val="008461BB"/>
    <w:rsid w:val="00846BBF"/>
    <w:rsid w:val="00847272"/>
    <w:rsid w:val="0084735D"/>
    <w:rsid w:val="008503CD"/>
    <w:rsid w:val="008509DE"/>
    <w:rsid w:val="00850C47"/>
    <w:rsid w:val="00850DC4"/>
    <w:rsid w:val="00851BBF"/>
    <w:rsid w:val="00851E13"/>
    <w:rsid w:val="0085208D"/>
    <w:rsid w:val="0085223A"/>
    <w:rsid w:val="00852346"/>
    <w:rsid w:val="00854C90"/>
    <w:rsid w:val="00855A41"/>
    <w:rsid w:val="00856158"/>
    <w:rsid w:val="00856439"/>
    <w:rsid w:val="0085751F"/>
    <w:rsid w:val="00860AD3"/>
    <w:rsid w:val="0086116F"/>
    <w:rsid w:val="008616CB"/>
    <w:rsid w:val="008621D2"/>
    <w:rsid w:val="008622AC"/>
    <w:rsid w:val="0086381A"/>
    <w:rsid w:val="00863D7B"/>
    <w:rsid w:val="0086527B"/>
    <w:rsid w:val="00865683"/>
    <w:rsid w:val="00865D1E"/>
    <w:rsid w:val="00866FE6"/>
    <w:rsid w:val="008673C6"/>
    <w:rsid w:val="00867586"/>
    <w:rsid w:val="00870129"/>
    <w:rsid w:val="0087058F"/>
    <w:rsid w:val="008711E7"/>
    <w:rsid w:val="00871972"/>
    <w:rsid w:val="008722FD"/>
    <w:rsid w:val="00872C62"/>
    <w:rsid w:val="00872D68"/>
    <w:rsid w:val="00873063"/>
    <w:rsid w:val="0087362A"/>
    <w:rsid w:val="00874D35"/>
    <w:rsid w:val="00874FFC"/>
    <w:rsid w:val="00875394"/>
    <w:rsid w:val="008765CA"/>
    <w:rsid w:val="008768B9"/>
    <w:rsid w:val="00876CC9"/>
    <w:rsid w:val="00877224"/>
    <w:rsid w:val="00877994"/>
    <w:rsid w:val="00880200"/>
    <w:rsid w:val="008804C7"/>
    <w:rsid w:val="008805C7"/>
    <w:rsid w:val="0088221E"/>
    <w:rsid w:val="008835E7"/>
    <w:rsid w:val="008838AB"/>
    <w:rsid w:val="00883D2F"/>
    <w:rsid w:val="008849B4"/>
    <w:rsid w:val="00885023"/>
    <w:rsid w:val="00885D73"/>
    <w:rsid w:val="00885DDC"/>
    <w:rsid w:val="00886E22"/>
    <w:rsid w:val="00886FF6"/>
    <w:rsid w:val="00887AB0"/>
    <w:rsid w:val="00887F7C"/>
    <w:rsid w:val="008902E8"/>
    <w:rsid w:val="008908A4"/>
    <w:rsid w:val="00890E1D"/>
    <w:rsid w:val="008912AB"/>
    <w:rsid w:val="00891331"/>
    <w:rsid w:val="00891DAC"/>
    <w:rsid w:val="0089226D"/>
    <w:rsid w:val="008923A9"/>
    <w:rsid w:val="008923F1"/>
    <w:rsid w:val="008964D7"/>
    <w:rsid w:val="00896522"/>
    <w:rsid w:val="0089666A"/>
    <w:rsid w:val="00896D03"/>
    <w:rsid w:val="008971AF"/>
    <w:rsid w:val="0089745E"/>
    <w:rsid w:val="00897784"/>
    <w:rsid w:val="008977FF"/>
    <w:rsid w:val="00897BDD"/>
    <w:rsid w:val="008A1F0F"/>
    <w:rsid w:val="008A2813"/>
    <w:rsid w:val="008A30A1"/>
    <w:rsid w:val="008A4540"/>
    <w:rsid w:val="008A4981"/>
    <w:rsid w:val="008A50C4"/>
    <w:rsid w:val="008A5843"/>
    <w:rsid w:val="008A5B92"/>
    <w:rsid w:val="008A5F3E"/>
    <w:rsid w:val="008A5F4B"/>
    <w:rsid w:val="008A647D"/>
    <w:rsid w:val="008A75DE"/>
    <w:rsid w:val="008A7887"/>
    <w:rsid w:val="008A7C04"/>
    <w:rsid w:val="008B0D9F"/>
    <w:rsid w:val="008B11AC"/>
    <w:rsid w:val="008B2CC9"/>
    <w:rsid w:val="008B343E"/>
    <w:rsid w:val="008B45A0"/>
    <w:rsid w:val="008B45BB"/>
    <w:rsid w:val="008B496F"/>
    <w:rsid w:val="008B51C9"/>
    <w:rsid w:val="008B54B1"/>
    <w:rsid w:val="008B5957"/>
    <w:rsid w:val="008B5D93"/>
    <w:rsid w:val="008B7DDA"/>
    <w:rsid w:val="008C29FB"/>
    <w:rsid w:val="008C2B8B"/>
    <w:rsid w:val="008C526E"/>
    <w:rsid w:val="008C66B2"/>
    <w:rsid w:val="008C70FE"/>
    <w:rsid w:val="008C740D"/>
    <w:rsid w:val="008C781A"/>
    <w:rsid w:val="008C7A9B"/>
    <w:rsid w:val="008D0CF3"/>
    <w:rsid w:val="008D26EC"/>
    <w:rsid w:val="008D4E26"/>
    <w:rsid w:val="008D6327"/>
    <w:rsid w:val="008D6961"/>
    <w:rsid w:val="008D699F"/>
    <w:rsid w:val="008D71A9"/>
    <w:rsid w:val="008E0193"/>
    <w:rsid w:val="008E2D4E"/>
    <w:rsid w:val="008E3786"/>
    <w:rsid w:val="008E473D"/>
    <w:rsid w:val="008E5337"/>
    <w:rsid w:val="008E5F6C"/>
    <w:rsid w:val="008E6AEB"/>
    <w:rsid w:val="008E77ED"/>
    <w:rsid w:val="008F0451"/>
    <w:rsid w:val="008F14CB"/>
    <w:rsid w:val="008F1A98"/>
    <w:rsid w:val="008F20B1"/>
    <w:rsid w:val="008F2862"/>
    <w:rsid w:val="008F2FF7"/>
    <w:rsid w:val="008F30BB"/>
    <w:rsid w:val="008F36C1"/>
    <w:rsid w:val="008F3D5F"/>
    <w:rsid w:val="008F4371"/>
    <w:rsid w:val="008F4644"/>
    <w:rsid w:val="008F487F"/>
    <w:rsid w:val="008F4EE5"/>
    <w:rsid w:val="008F59A2"/>
    <w:rsid w:val="008F5BEB"/>
    <w:rsid w:val="008F62C6"/>
    <w:rsid w:val="008F6C7E"/>
    <w:rsid w:val="008F6FC0"/>
    <w:rsid w:val="008F75CA"/>
    <w:rsid w:val="008F7FF6"/>
    <w:rsid w:val="009001BC"/>
    <w:rsid w:val="009001F7"/>
    <w:rsid w:val="009026DE"/>
    <w:rsid w:val="00902D0A"/>
    <w:rsid w:val="00903060"/>
    <w:rsid w:val="0090329F"/>
    <w:rsid w:val="00904BE5"/>
    <w:rsid w:val="009052A4"/>
    <w:rsid w:val="00905308"/>
    <w:rsid w:val="00906AE1"/>
    <w:rsid w:val="00906C6C"/>
    <w:rsid w:val="00907391"/>
    <w:rsid w:val="00910214"/>
    <w:rsid w:val="00910937"/>
    <w:rsid w:val="00911388"/>
    <w:rsid w:val="00911640"/>
    <w:rsid w:val="009123D6"/>
    <w:rsid w:val="009127AE"/>
    <w:rsid w:val="00913AE4"/>
    <w:rsid w:val="00916A5B"/>
    <w:rsid w:val="00916ED4"/>
    <w:rsid w:val="00917482"/>
    <w:rsid w:val="009174C9"/>
    <w:rsid w:val="009178F5"/>
    <w:rsid w:val="00920683"/>
    <w:rsid w:val="009223B9"/>
    <w:rsid w:val="009225CE"/>
    <w:rsid w:val="00922D98"/>
    <w:rsid w:val="00923342"/>
    <w:rsid w:val="009242F5"/>
    <w:rsid w:val="009245CD"/>
    <w:rsid w:val="00924826"/>
    <w:rsid w:val="00925DFC"/>
    <w:rsid w:val="009316EF"/>
    <w:rsid w:val="00932863"/>
    <w:rsid w:val="00932FC4"/>
    <w:rsid w:val="009338F0"/>
    <w:rsid w:val="009343A9"/>
    <w:rsid w:val="0093444D"/>
    <w:rsid w:val="00934C10"/>
    <w:rsid w:val="00934FAF"/>
    <w:rsid w:val="009351F7"/>
    <w:rsid w:val="00935ADE"/>
    <w:rsid w:val="00935E4A"/>
    <w:rsid w:val="009363CD"/>
    <w:rsid w:val="009364E8"/>
    <w:rsid w:val="00936592"/>
    <w:rsid w:val="0094156E"/>
    <w:rsid w:val="009415FB"/>
    <w:rsid w:val="009417BF"/>
    <w:rsid w:val="0094194A"/>
    <w:rsid w:val="00941E36"/>
    <w:rsid w:val="00942ECC"/>
    <w:rsid w:val="0094315C"/>
    <w:rsid w:val="009453F5"/>
    <w:rsid w:val="0094610C"/>
    <w:rsid w:val="00946A82"/>
    <w:rsid w:val="00946B12"/>
    <w:rsid w:val="00947589"/>
    <w:rsid w:val="009477E5"/>
    <w:rsid w:val="009479CA"/>
    <w:rsid w:val="0095038B"/>
    <w:rsid w:val="009507FD"/>
    <w:rsid w:val="00950C57"/>
    <w:rsid w:val="00950D4C"/>
    <w:rsid w:val="0095150B"/>
    <w:rsid w:val="009515D3"/>
    <w:rsid w:val="00951A58"/>
    <w:rsid w:val="00951F97"/>
    <w:rsid w:val="00952231"/>
    <w:rsid w:val="00952CFC"/>
    <w:rsid w:val="00953D2B"/>
    <w:rsid w:val="00954C9F"/>
    <w:rsid w:val="009554E3"/>
    <w:rsid w:val="00955578"/>
    <w:rsid w:val="00956186"/>
    <w:rsid w:val="00957C70"/>
    <w:rsid w:val="00957C97"/>
    <w:rsid w:val="00957F89"/>
    <w:rsid w:val="009608FF"/>
    <w:rsid w:val="00963A77"/>
    <w:rsid w:val="00963E22"/>
    <w:rsid w:val="0096449B"/>
    <w:rsid w:val="009648CC"/>
    <w:rsid w:val="0096526F"/>
    <w:rsid w:val="009656AC"/>
    <w:rsid w:val="00965AD7"/>
    <w:rsid w:val="00965FFE"/>
    <w:rsid w:val="009663D7"/>
    <w:rsid w:val="00966C76"/>
    <w:rsid w:val="00967A67"/>
    <w:rsid w:val="00967AE7"/>
    <w:rsid w:val="00967BE3"/>
    <w:rsid w:val="009709B2"/>
    <w:rsid w:val="00970CA9"/>
    <w:rsid w:val="00971005"/>
    <w:rsid w:val="009712F7"/>
    <w:rsid w:val="00971BC8"/>
    <w:rsid w:val="009723B2"/>
    <w:rsid w:val="00972730"/>
    <w:rsid w:val="00972EBB"/>
    <w:rsid w:val="009737FF"/>
    <w:rsid w:val="00973CA6"/>
    <w:rsid w:val="00974468"/>
    <w:rsid w:val="00974DC7"/>
    <w:rsid w:val="009767BA"/>
    <w:rsid w:val="00976882"/>
    <w:rsid w:val="00977542"/>
    <w:rsid w:val="009777C7"/>
    <w:rsid w:val="00980C0A"/>
    <w:rsid w:val="00980D78"/>
    <w:rsid w:val="00980EF9"/>
    <w:rsid w:val="00981267"/>
    <w:rsid w:val="009812D3"/>
    <w:rsid w:val="00981977"/>
    <w:rsid w:val="00981D46"/>
    <w:rsid w:val="00982055"/>
    <w:rsid w:val="0098479C"/>
    <w:rsid w:val="00984B85"/>
    <w:rsid w:val="009851CD"/>
    <w:rsid w:val="00985740"/>
    <w:rsid w:val="00985782"/>
    <w:rsid w:val="00985A02"/>
    <w:rsid w:val="00985D90"/>
    <w:rsid w:val="009860CD"/>
    <w:rsid w:val="00987792"/>
    <w:rsid w:val="00987C19"/>
    <w:rsid w:val="0099011A"/>
    <w:rsid w:val="009901F6"/>
    <w:rsid w:val="0099098D"/>
    <w:rsid w:val="0099123D"/>
    <w:rsid w:val="0099156F"/>
    <w:rsid w:val="009928D0"/>
    <w:rsid w:val="00992BF5"/>
    <w:rsid w:val="009932E4"/>
    <w:rsid w:val="0099498D"/>
    <w:rsid w:val="00994B8E"/>
    <w:rsid w:val="00994C84"/>
    <w:rsid w:val="00995508"/>
    <w:rsid w:val="0099572E"/>
    <w:rsid w:val="009958FE"/>
    <w:rsid w:val="009975DA"/>
    <w:rsid w:val="009975F4"/>
    <w:rsid w:val="009A08F8"/>
    <w:rsid w:val="009A1FE5"/>
    <w:rsid w:val="009A2017"/>
    <w:rsid w:val="009A45C0"/>
    <w:rsid w:val="009A5285"/>
    <w:rsid w:val="009A562D"/>
    <w:rsid w:val="009A638F"/>
    <w:rsid w:val="009A746F"/>
    <w:rsid w:val="009A77CB"/>
    <w:rsid w:val="009B1421"/>
    <w:rsid w:val="009B24C8"/>
    <w:rsid w:val="009B29B5"/>
    <w:rsid w:val="009B2D41"/>
    <w:rsid w:val="009B31DA"/>
    <w:rsid w:val="009B3832"/>
    <w:rsid w:val="009B4AC7"/>
    <w:rsid w:val="009B4ADE"/>
    <w:rsid w:val="009B5101"/>
    <w:rsid w:val="009B5414"/>
    <w:rsid w:val="009B5500"/>
    <w:rsid w:val="009B7288"/>
    <w:rsid w:val="009B789C"/>
    <w:rsid w:val="009C0689"/>
    <w:rsid w:val="009C0E1E"/>
    <w:rsid w:val="009C0E7F"/>
    <w:rsid w:val="009C1967"/>
    <w:rsid w:val="009C1E65"/>
    <w:rsid w:val="009C2341"/>
    <w:rsid w:val="009C2519"/>
    <w:rsid w:val="009C2631"/>
    <w:rsid w:val="009C3819"/>
    <w:rsid w:val="009C3BFD"/>
    <w:rsid w:val="009C3C38"/>
    <w:rsid w:val="009C5D49"/>
    <w:rsid w:val="009C5F4E"/>
    <w:rsid w:val="009C5F8B"/>
    <w:rsid w:val="009C62D0"/>
    <w:rsid w:val="009C6490"/>
    <w:rsid w:val="009C747F"/>
    <w:rsid w:val="009C771F"/>
    <w:rsid w:val="009C774D"/>
    <w:rsid w:val="009C77F0"/>
    <w:rsid w:val="009C7F48"/>
    <w:rsid w:val="009D06D5"/>
    <w:rsid w:val="009D0D09"/>
    <w:rsid w:val="009D0E5C"/>
    <w:rsid w:val="009D1D38"/>
    <w:rsid w:val="009D2046"/>
    <w:rsid w:val="009D2528"/>
    <w:rsid w:val="009D2ACD"/>
    <w:rsid w:val="009D2B3B"/>
    <w:rsid w:val="009D2EE1"/>
    <w:rsid w:val="009D41EC"/>
    <w:rsid w:val="009D4A3E"/>
    <w:rsid w:val="009D4BEC"/>
    <w:rsid w:val="009D609B"/>
    <w:rsid w:val="009D6CE0"/>
    <w:rsid w:val="009D6E63"/>
    <w:rsid w:val="009D755C"/>
    <w:rsid w:val="009E03FE"/>
    <w:rsid w:val="009E0818"/>
    <w:rsid w:val="009E0FBB"/>
    <w:rsid w:val="009E1004"/>
    <w:rsid w:val="009E147F"/>
    <w:rsid w:val="009E3496"/>
    <w:rsid w:val="009E364B"/>
    <w:rsid w:val="009E471E"/>
    <w:rsid w:val="009E4B47"/>
    <w:rsid w:val="009E4D04"/>
    <w:rsid w:val="009E4E6C"/>
    <w:rsid w:val="009E50CF"/>
    <w:rsid w:val="009E5CEF"/>
    <w:rsid w:val="009E5F6D"/>
    <w:rsid w:val="009E656D"/>
    <w:rsid w:val="009E723A"/>
    <w:rsid w:val="009F0236"/>
    <w:rsid w:val="009F0798"/>
    <w:rsid w:val="009F1495"/>
    <w:rsid w:val="009F16A3"/>
    <w:rsid w:val="009F27EE"/>
    <w:rsid w:val="009F2D4B"/>
    <w:rsid w:val="009F3089"/>
    <w:rsid w:val="009F3FBA"/>
    <w:rsid w:val="009F5C89"/>
    <w:rsid w:val="00A01453"/>
    <w:rsid w:val="00A01ED8"/>
    <w:rsid w:val="00A0256C"/>
    <w:rsid w:val="00A026A9"/>
    <w:rsid w:val="00A02A3A"/>
    <w:rsid w:val="00A02BC6"/>
    <w:rsid w:val="00A03D16"/>
    <w:rsid w:val="00A051DD"/>
    <w:rsid w:val="00A05B9D"/>
    <w:rsid w:val="00A06E16"/>
    <w:rsid w:val="00A07B75"/>
    <w:rsid w:val="00A07CF3"/>
    <w:rsid w:val="00A07F41"/>
    <w:rsid w:val="00A10A28"/>
    <w:rsid w:val="00A12533"/>
    <w:rsid w:val="00A1343B"/>
    <w:rsid w:val="00A13740"/>
    <w:rsid w:val="00A13BB8"/>
    <w:rsid w:val="00A15560"/>
    <w:rsid w:val="00A1596A"/>
    <w:rsid w:val="00A15C3A"/>
    <w:rsid w:val="00A1685A"/>
    <w:rsid w:val="00A1722C"/>
    <w:rsid w:val="00A1790B"/>
    <w:rsid w:val="00A17DF2"/>
    <w:rsid w:val="00A17EDF"/>
    <w:rsid w:val="00A213BF"/>
    <w:rsid w:val="00A21580"/>
    <w:rsid w:val="00A215AF"/>
    <w:rsid w:val="00A21696"/>
    <w:rsid w:val="00A2365B"/>
    <w:rsid w:val="00A24310"/>
    <w:rsid w:val="00A24E9A"/>
    <w:rsid w:val="00A2518E"/>
    <w:rsid w:val="00A2588E"/>
    <w:rsid w:val="00A25CE3"/>
    <w:rsid w:val="00A266C3"/>
    <w:rsid w:val="00A2701B"/>
    <w:rsid w:val="00A273CD"/>
    <w:rsid w:val="00A30679"/>
    <w:rsid w:val="00A30DD6"/>
    <w:rsid w:val="00A32441"/>
    <w:rsid w:val="00A324E7"/>
    <w:rsid w:val="00A32EA8"/>
    <w:rsid w:val="00A3302F"/>
    <w:rsid w:val="00A33088"/>
    <w:rsid w:val="00A33119"/>
    <w:rsid w:val="00A3311E"/>
    <w:rsid w:val="00A336E1"/>
    <w:rsid w:val="00A34166"/>
    <w:rsid w:val="00A345CA"/>
    <w:rsid w:val="00A355C9"/>
    <w:rsid w:val="00A366F0"/>
    <w:rsid w:val="00A379A1"/>
    <w:rsid w:val="00A379C2"/>
    <w:rsid w:val="00A37B4F"/>
    <w:rsid w:val="00A4139F"/>
    <w:rsid w:val="00A41C82"/>
    <w:rsid w:val="00A42728"/>
    <w:rsid w:val="00A43394"/>
    <w:rsid w:val="00A452C2"/>
    <w:rsid w:val="00A46192"/>
    <w:rsid w:val="00A461FD"/>
    <w:rsid w:val="00A46AB4"/>
    <w:rsid w:val="00A4700A"/>
    <w:rsid w:val="00A470F4"/>
    <w:rsid w:val="00A475AF"/>
    <w:rsid w:val="00A47893"/>
    <w:rsid w:val="00A47B59"/>
    <w:rsid w:val="00A509BD"/>
    <w:rsid w:val="00A513E0"/>
    <w:rsid w:val="00A513E4"/>
    <w:rsid w:val="00A52A2A"/>
    <w:rsid w:val="00A52BFC"/>
    <w:rsid w:val="00A532C9"/>
    <w:rsid w:val="00A536A7"/>
    <w:rsid w:val="00A56EAD"/>
    <w:rsid w:val="00A5787A"/>
    <w:rsid w:val="00A57C62"/>
    <w:rsid w:val="00A57C6F"/>
    <w:rsid w:val="00A60131"/>
    <w:rsid w:val="00A60A49"/>
    <w:rsid w:val="00A60FB6"/>
    <w:rsid w:val="00A62080"/>
    <w:rsid w:val="00A62484"/>
    <w:rsid w:val="00A630B4"/>
    <w:rsid w:val="00A63199"/>
    <w:rsid w:val="00A63D28"/>
    <w:rsid w:val="00A64661"/>
    <w:rsid w:val="00A64A61"/>
    <w:rsid w:val="00A64EFC"/>
    <w:rsid w:val="00A651AE"/>
    <w:rsid w:val="00A65809"/>
    <w:rsid w:val="00A6585A"/>
    <w:rsid w:val="00A666C8"/>
    <w:rsid w:val="00A678F7"/>
    <w:rsid w:val="00A67E24"/>
    <w:rsid w:val="00A70125"/>
    <w:rsid w:val="00A713C9"/>
    <w:rsid w:val="00A719E9"/>
    <w:rsid w:val="00A7231A"/>
    <w:rsid w:val="00A73384"/>
    <w:rsid w:val="00A73518"/>
    <w:rsid w:val="00A736F3"/>
    <w:rsid w:val="00A73BC7"/>
    <w:rsid w:val="00A74A07"/>
    <w:rsid w:val="00A75ECF"/>
    <w:rsid w:val="00A768CD"/>
    <w:rsid w:val="00A779B0"/>
    <w:rsid w:val="00A77DDC"/>
    <w:rsid w:val="00A80998"/>
    <w:rsid w:val="00A80D53"/>
    <w:rsid w:val="00A815A3"/>
    <w:rsid w:val="00A82411"/>
    <w:rsid w:val="00A8262A"/>
    <w:rsid w:val="00A82B4B"/>
    <w:rsid w:val="00A8304B"/>
    <w:rsid w:val="00A836EB"/>
    <w:rsid w:val="00A84CC5"/>
    <w:rsid w:val="00A851E5"/>
    <w:rsid w:val="00A8557F"/>
    <w:rsid w:val="00A865BC"/>
    <w:rsid w:val="00A871C8"/>
    <w:rsid w:val="00A876A6"/>
    <w:rsid w:val="00A87EE9"/>
    <w:rsid w:val="00A90987"/>
    <w:rsid w:val="00A90A24"/>
    <w:rsid w:val="00A90ADD"/>
    <w:rsid w:val="00A90D8A"/>
    <w:rsid w:val="00A9122E"/>
    <w:rsid w:val="00A91FDD"/>
    <w:rsid w:val="00A9204F"/>
    <w:rsid w:val="00A92EB0"/>
    <w:rsid w:val="00A94038"/>
    <w:rsid w:val="00A94319"/>
    <w:rsid w:val="00A94E04"/>
    <w:rsid w:val="00A95367"/>
    <w:rsid w:val="00A95D01"/>
    <w:rsid w:val="00A975DD"/>
    <w:rsid w:val="00A97757"/>
    <w:rsid w:val="00A97900"/>
    <w:rsid w:val="00AA0215"/>
    <w:rsid w:val="00AA0B38"/>
    <w:rsid w:val="00AA1830"/>
    <w:rsid w:val="00AA1A7C"/>
    <w:rsid w:val="00AA282C"/>
    <w:rsid w:val="00AA2F41"/>
    <w:rsid w:val="00AA3AE1"/>
    <w:rsid w:val="00AA3F40"/>
    <w:rsid w:val="00AA4CA6"/>
    <w:rsid w:val="00AA5792"/>
    <w:rsid w:val="00AA6055"/>
    <w:rsid w:val="00AA73E6"/>
    <w:rsid w:val="00AA7404"/>
    <w:rsid w:val="00AA7617"/>
    <w:rsid w:val="00AA7B1C"/>
    <w:rsid w:val="00AA7F30"/>
    <w:rsid w:val="00AB00E7"/>
    <w:rsid w:val="00AB0FFB"/>
    <w:rsid w:val="00AB32CF"/>
    <w:rsid w:val="00AB39C4"/>
    <w:rsid w:val="00AB436B"/>
    <w:rsid w:val="00AB4CB2"/>
    <w:rsid w:val="00AB557F"/>
    <w:rsid w:val="00AB57ED"/>
    <w:rsid w:val="00AB660D"/>
    <w:rsid w:val="00AB691A"/>
    <w:rsid w:val="00AB6B81"/>
    <w:rsid w:val="00AB6C3B"/>
    <w:rsid w:val="00AB7B87"/>
    <w:rsid w:val="00AB7EF4"/>
    <w:rsid w:val="00AC0074"/>
    <w:rsid w:val="00AC02EB"/>
    <w:rsid w:val="00AC07DB"/>
    <w:rsid w:val="00AC1A6B"/>
    <w:rsid w:val="00AC1B7D"/>
    <w:rsid w:val="00AC1DB5"/>
    <w:rsid w:val="00AC207B"/>
    <w:rsid w:val="00AC2DB3"/>
    <w:rsid w:val="00AC41A7"/>
    <w:rsid w:val="00AC464F"/>
    <w:rsid w:val="00AC4BCC"/>
    <w:rsid w:val="00AC4E53"/>
    <w:rsid w:val="00AC610D"/>
    <w:rsid w:val="00AC6499"/>
    <w:rsid w:val="00AC66FB"/>
    <w:rsid w:val="00AC6DAF"/>
    <w:rsid w:val="00AC7CE9"/>
    <w:rsid w:val="00AD06BB"/>
    <w:rsid w:val="00AD1412"/>
    <w:rsid w:val="00AD1799"/>
    <w:rsid w:val="00AD1AD2"/>
    <w:rsid w:val="00AD2A9E"/>
    <w:rsid w:val="00AD2F85"/>
    <w:rsid w:val="00AD34ED"/>
    <w:rsid w:val="00AD4F08"/>
    <w:rsid w:val="00AD5051"/>
    <w:rsid w:val="00AD5527"/>
    <w:rsid w:val="00AD5A9E"/>
    <w:rsid w:val="00AD69E4"/>
    <w:rsid w:val="00AD6FD8"/>
    <w:rsid w:val="00AD7631"/>
    <w:rsid w:val="00AD77D7"/>
    <w:rsid w:val="00AD7DC1"/>
    <w:rsid w:val="00AE0294"/>
    <w:rsid w:val="00AE06ED"/>
    <w:rsid w:val="00AE15A2"/>
    <w:rsid w:val="00AE297B"/>
    <w:rsid w:val="00AE3090"/>
    <w:rsid w:val="00AE34D2"/>
    <w:rsid w:val="00AE4A10"/>
    <w:rsid w:val="00AE55D0"/>
    <w:rsid w:val="00AE5DD4"/>
    <w:rsid w:val="00AE7147"/>
    <w:rsid w:val="00AE73AA"/>
    <w:rsid w:val="00AF0227"/>
    <w:rsid w:val="00AF080B"/>
    <w:rsid w:val="00AF08A3"/>
    <w:rsid w:val="00AF0BF2"/>
    <w:rsid w:val="00AF1195"/>
    <w:rsid w:val="00AF3C6F"/>
    <w:rsid w:val="00AF40E5"/>
    <w:rsid w:val="00AF42C1"/>
    <w:rsid w:val="00AF568E"/>
    <w:rsid w:val="00AF5D11"/>
    <w:rsid w:val="00AF678C"/>
    <w:rsid w:val="00AF6DA0"/>
    <w:rsid w:val="00AF752E"/>
    <w:rsid w:val="00B0047C"/>
    <w:rsid w:val="00B02041"/>
    <w:rsid w:val="00B0209A"/>
    <w:rsid w:val="00B02B20"/>
    <w:rsid w:val="00B03962"/>
    <w:rsid w:val="00B03E34"/>
    <w:rsid w:val="00B042AB"/>
    <w:rsid w:val="00B044E3"/>
    <w:rsid w:val="00B05118"/>
    <w:rsid w:val="00B0538D"/>
    <w:rsid w:val="00B06452"/>
    <w:rsid w:val="00B106DA"/>
    <w:rsid w:val="00B11F2D"/>
    <w:rsid w:val="00B12F01"/>
    <w:rsid w:val="00B13592"/>
    <w:rsid w:val="00B13BCA"/>
    <w:rsid w:val="00B155BB"/>
    <w:rsid w:val="00B1609D"/>
    <w:rsid w:val="00B16440"/>
    <w:rsid w:val="00B164F4"/>
    <w:rsid w:val="00B16ED1"/>
    <w:rsid w:val="00B174FC"/>
    <w:rsid w:val="00B20ACB"/>
    <w:rsid w:val="00B20F46"/>
    <w:rsid w:val="00B21E6C"/>
    <w:rsid w:val="00B226F8"/>
    <w:rsid w:val="00B228DC"/>
    <w:rsid w:val="00B232C1"/>
    <w:rsid w:val="00B2340B"/>
    <w:rsid w:val="00B23DC5"/>
    <w:rsid w:val="00B2413C"/>
    <w:rsid w:val="00B2423A"/>
    <w:rsid w:val="00B243AF"/>
    <w:rsid w:val="00B249BD"/>
    <w:rsid w:val="00B25D78"/>
    <w:rsid w:val="00B26100"/>
    <w:rsid w:val="00B275B5"/>
    <w:rsid w:val="00B30B89"/>
    <w:rsid w:val="00B30F2E"/>
    <w:rsid w:val="00B3138F"/>
    <w:rsid w:val="00B31760"/>
    <w:rsid w:val="00B318D5"/>
    <w:rsid w:val="00B34C3B"/>
    <w:rsid w:val="00B3519C"/>
    <w:rsid w:val="00B35831"/>
    <w:rsid w:val="00B35FC7"/>
    <w:rsid w:val="00B362A2"/>
    <w:rsid w:val="00B37480"/>
    <w:rsid w:val="00B3767B"/>
    <w:rsid w:val="00B3779F"/>
    <w:rsid w:val="00B37BF7"/>
    <w:rsid w:val="00B407DC"/>
    <w:rsid w:val="00B41F5F"/>
    <w:rsid w:val="00B42F2E"/>
    <w:rsid w:val="00B4338F"/>
    <w:rsid w:val="00B43EAC"/>
    <w:rsid w:val="00B4494E"/>
    <w:rsid w:val="00B45038"/>
    <w:rsid w:val="00B4585A"/>
    <w:rsid w:val="00B46307"/>
    <w:rsid w:val="00B4665B"/>
    <w:rsid w:val="00B468A7"/>
    <w:rsid w:val="00B46980"/>
    <w:rsid w:val="00B47480"/>
    <w:rsid w:val="00B478D9"/>
    <w:rsid w:val="00B47ABD"/>
    <w:rsid w:val="00B47ECA"/>
    <w:rsid w:val="00B47EEA"/>
    <w:rsid w:val="00B514CC"/>
    <w:rsid w:val="00B53C79"/>
    <w:rsid w:val="00B540A3"/>
    <w:rsid w:val="00B558C3"/>
    <w:rsid w:val="00B56359"/>
    <w:rsid w:val="00B56B64"/>
    <w:rsid w:val="00B56DFC"/>
    <w:rsid w:val="00B60118"/>
    <w:rsid w:val="00B612AE"/>
    <w:rsid w:val="00B618E7"/>
    <w:rsid w:val="00B6219B"/>
    <w:rsid w:val="00B62A21"/>
    <w:rsid w:val="00B62F7D"/>
    <w:rsid w:val="00B63305"/>
    <w:rsid w:val="00B6335A"/>
    <w:rsid w:val="00B643E4"/>
    <w:rsid w:val="00B64532"/>
    <w:rsid w:val="00B6485E"/>
    <w:rsid w:val="00B65060"/>
    <w:rsid w:val="00B65349"/>
    <w:rsid w:val="00B656A8"/>
    <w:rsid w:val="00B66793"/>
    <w:rsid w:val="00B66C41"/>
    <w:rsid w:val="00B674C4"/>
    <w:rsid w:val="00B70D5D"/>
    <w:rsid w:val="00B70D90"/>
    <w:rsid w:val="00B72177"/>
    <w:rsid w:val="00B72762"/>
    <w:rsid w:val="00B72BE1"/>
    <w:rsid w:val="00B72C76"/>
    <w:rsid w:val="00B72C8C"/>
    <w:rsid w:val="00B72ECC"/>
    <w:rsid w:val="00B72F2F"/>
    <w:rsid w:val="00B734E8"/>
    <w:rsid w:val="00B73C73"/>
    <w:rsid w:val="00B73F8B"/>
    <w:rsid w:val="00B74107"/>
    <w:rsid w:val="00B747B8"/>
    <w:rsid w:val="00B74B49"/>
    <w:rsid w:val="00B7500C"/>
    <w:rsid w:val="00B75268"/>
    <w:rsid w:val="00B752DA"/>
    <w:rsid w:val="00B76386"/>
    <w:rsid w:val="00B77258"/>
    <w:rsid w:val="00B7763B"/>
    <w:rsid w:val="00B80397"/>
    <w:rsid w:val="00B80A05"/>
    <w:rsid w:val="00B80B15"/>
    <w:rsid w:val="00B80F55"/>
    <w:rsid w:val="00B81BD2"/>
    <w:rsid w:val="00B81C4D"/>
    <w:rsid w:val="00B8339B"/>
    <w:rsid w:val="00B84365"/>
    <w:rsid w:val="00B84A3F"/>
    <w:rsid w:val="00B84ED4"/>
    <w:rsid w:val="00B85143"/>
    <w:rsid w:val="00B859A6"/>
    <w:rsid w:val="00B85DA5"/>
    <w:rsid w:val="00B86290"/>
    <w:rsid w:val="00B86454"/>
    <w:rsid w:val="00B864BD"/>
    <w:rsid w:val="00B86D4E"/>
    <w:rsid w:val="00B8706E"/>
    <w:rsid w:val="00B9081B"/>
    <w:rsid w:val="00B90FAE"/>
    <w:rsid w:val="00B91060"/>
    <w:rsid w:val="00B910C9"/>
    <w:rsid w:val="00B91B2C"/>
    <w:rsid w:val="00B9328F"/>
    <w:rsid w:val="00B93325"/>
    <w:rsid w:val="00B94FBA"/>
    <w:rsid w:val="00B95984"/>
    <w:rsid w:val="00B95A18"/>
    <w:rsid w:val="00B96299"/>
    <w:rsid w:val="00B964B6"/>
    <w:rsid w:val="00B96E50"/>
    <w:rsid w:val="00B9745E"/>
    <w:rsid w:val="00B97FB8"/>
    <w:rsid w:val="00BA28FA"/>
    <w:rsid w:val="00BA3A0C"/>
    <w:rsid w:val="00BA3AF0"/>
    <w:rsid w:val="00BA4207"/>
    <w:rsid w:val="00BA4E33"/>
    <w:rsid w:val="00BA58D0"/>
    <w:rsid w:val="00BA70D9"/>
    <w:rsid w:val="00BB0022"/>
    <w:rsid w:val="00BB08ED"/>
    <w:rsid w:val="00BB19E6"/>
    <w:rsid w:val="00BB1CD1"/>
    <w:rsid w:val="00BB23B8"/>
    <w:rsid w:val="00BB25BD"/>
    <w:rsid w:val="00BB2C75"/>
    <w:rsid w:val="00BB2E3F"/>
    <w:rsid w:val="00BB3672"/>
    <w:rsid w:val="00BB445F"/>
    <w:rsid w:val="00BB55CC"/>
    <w:rsid w:val="00BB5BDB"/>
    <w:rsid w:val="00BB657E"/>
    <w:rsid w:val="00BC02F4"/>
    <w:rsid w:val="00BC0594"/>
    <w:rsid w:val="00BC0C1F"/>
    <w:rsid w:val="00BC13D5"/>
    <w:rsid w:val="00BC2337"/>
    <w:rsid w:val="00BC2D27"/>
    <w:rsid w:val="00BC3AAB"/>
    <w:rsid w:val="00BC3D62"/>
    <w:rsid w:val="00BC3FBD"/>
    <w:rsid w:val="00BC41EA"/>
    <w:rsid w:val="00BC49B5"/>
    <w:rsid w:val="00BC60E7"/>
    <w:rsid w:val="00BC66B6"/>
    <w:rsid w:val="00BC69C9"/>
    <w:rsid w:val="00BC6D69"/>
    <w:rsid w:val="00BC72D6"/>
    <w:rsid w:val="00BC7A44"/>
    <w:rsid w:val="00BD0F93"/>
    <w:rsid w:val="00BD1068"/>
    <w:rsid w:val="00BD106A"/>
    <w:rsid w:val="00BD1F39"/>
    <w:rsid w:val="00BD2245"/>
    <w:rsid w:val="00BD2285"/>
    <w:rsid w:val="00BD2585"/>
    <w:rsid w:val="00BD2E37"/>
    <w:rsid w:val="00BD3373"/>
    <w:rsid w:val="00BD4831"/>
    <w:rsid w:val="00BD5A74"/>
    <w:rsid w:val="00BD5A77"/>
    <w:rsid w:val="00BD5EC1"/>
    <w:rsid w:val="00BD6798"/>
    <w:rsid w:val="00BD6A7A"/>
    <w:rsid w:val="00BD6CDE"/>
    <w:rsid w:val="00BD7185"/>
    <w:rsid w:val="00BD76A5"/>
    <w:rsid w:val="00BE0393"/>
    <w:rsid w:val="00BE0711"/>
    <w:rsid w:val="00BE0C80"/>
    <w:rsid w:val="00BE14E3"/>
    <w:rsid w:val="00BE205E"/>
    <w:rsid w:val="00BE2CC9"/>
    <w:rsid w:val="00BE32C2"/>
    <w:rsid w:val="00BE43D2"/>
    <w:rsid w:val="00BE72F6"/>
    <w:rsid w:val="00BE7568"/>
    <w:rsid w:val="00BE7EE8"/>
    <w:rsid w:val="00BF02DC"/>
    <w:rsid w:val="00BF05B0"/>
    <w:rsid w:val="00BF11CA"/>
    <w:rsid w:val="00BF2475"/>
    <w:rsid w:val="00BF34F2"/>
    <w:rsid w:val="00BF5FA0"/>
    <w:rsid w:val="00BF6138"/>
    <w:rsid w:val="00BF628D"/>
    <w:rsid w:val="00BF6459"/>
    <w:rsid w:val="00BF6639"/>
    <w:rsid w:val="00BF6B48"/>
    <w:rsid w:val="00BF6B77"/>
    <w:rsid w:val="00BF7806"/>
    <w:rsid w:val="00BF7D6C"/>
    <w:rsid w:val="00C000BD"/>
    <w:rsid w:val="00C004D6"/>
    <w:rsid w:val="00C0054A"/>
    <w:rsid w:val="00C0057A"/>
    <w:rsid w:val="00C00973"/>
    <w:rsid w:val="00C010C1"/>
    <w:rsid w:val="00C0228B"/>
    <w:rsid w:val="00C0254D"/>
    <w:rsid w:val="00C02BD4"/>
    <w:rsid w:val="00C03353"/>
    <w:rsid w:val="00C04208"/>
    <w:rsid w:val="00C049B1"/>
    <w:rsid w:val="00C05064"/>
    <w:rsid w:val="00C05385"/>
    <w:rsid w:val="00C067A3"/>
    <w:rsid w:val="00C07460"/>
    <w:rsid w:val="00C07B28"/>
    <w:rsid w:val="00C118A8"/>
    <w:rsid w:val="00C11FA1"/>
    <w:rsid w:val="00C12EAC"/>
    <w:rsid w:val="00C132E3"/>
    <w:rsid w:val="00C13345"/>
    <w:rsid w:val="00C13609"/>
    <w:rsid w:val="00C13BC9"/>
    <w:rsid w:val="00C14658"/>
    <w:rsid w:val="00C15ACB"/>
    <w:rsid w:val="00C15CFB"/>
    <w:rsid w:val="00C15FB3"/>
    <w:rsid w:val="00C16920"/>
    <w:rsid w:val="00C16E82"/>
    <w:rsid w:val="00C17580"/>
    <w:rsid w:val="00C17925"/>
    <w:rsid w:val="00C17B34"/>
    <w:rsid w:val="00C17F95"/>
    <w:rsid w:val="00C20E77"/>
    <w:rsid w:val="00C20F46"/>
    <w:rsid w:val="00C2153D"/>
    <w:rsid w:val="00C21878"/>
    <w:rsid w:val="00C21EE3"/>
    <w:rsid w:val="00C22339"/>
    <w:rsid w:val="00C22522"/>
    <w:rsid w:val="00C225B5"/>
    <w:rsid w:val="00C23715"/>
    <w:rsid w:val="00C238A6"/>
    <w:rsid w:val="00C23DB0"/>
    <w:rsid w:val="00C24CA6"/>
    <w:rsid w:val="00C252C1"/>
    <w:rsid w:val="00C267CB"/>
    <w:rsid w:val="00C27112"/>
    <w:rsid w:val="00C27785"/>
    <w:rsid w:val="00C308B1"/>
    <w:rsid w:val="00C30E55"/>
    <w:rsid w:val="00C31CDB"/>
    <w:rsid w:val="00C32283"/>
    <w:rsid w:val="00C32D40"/>
    <w:rsid w:val="00C330E7"/>
    <w:rsid w:val="00C33208"/>
    <w:rsid w:val="00C33B53"/>
    <w:rsid w:val="00C34D7C"/>
    <w:rsid w:val="00C34DF1"/>
    <w:rsid w:val="00C35BFB"/>
    <w:rsid w:val="00C35FE0"/>
    <w:rsid w:val="00C36141"/>
    <w:rsid w:val="00C363C3"/>
    <w:rsid w:val="00C3677A"/>
    <w:rsid w:val="00C36C6E"/>
    <w:rsid w:val="00C36DCD"/>
    <w:rsid w:val="00C37E2D"/>
    <w:rsid w:val="00C40976"/>
    <w:rsid w:val="00C40C21"/>
    <w:rsid w:val="00C41E70"/>
    <w:rsid w:val="00C42581"/>
    <w:rsid w:val="00C42A12"/>
    <w:rsid w:val="00C42BF1"/>
    <w:rsid w:val="00C44069"/>
    <w:rsid w:val="00C44386"/>
    <w:rsid w:val="00C44681"/>
    <w:rsid w:val="00C448F7"/>
    <w:rsid w:val="00C4493E"/>
    <w:rsid w:val="00C44E27"/>
    <w:rsid w:val="00C45317"/>
    <w:rsid w:val="00C45860"/>
    <w:rsid w:val="00C45D26"/>
    <w:rsid w:val="00C467F2"/>
    <w:rsid w:val="00C46989"/>
    <w:rsid w:val="00C473A1"/>
    <w:rsid w:val="00C47926"/>
    <w:rsid w:val="00C4792C"/>
    <w:rsid w:val="00C51E6B"/>
    <w:rsid w:val="00C52580"/>
    <w:rsid w:val="00C52AE9"/>
    <w:rsid w:val="00C54BB9"/>
    <w:rsid w:val="00C55122"/>
    <w:rsid w:val="00C57172"/>
    <w:rsid w:val="00C57B2B"/>
    <w:rsid w:val="00C60C2C"/>
    <w:rsid w:val="00C60CA7"/>
    <w:rsid w:val="00C60D9C"/>
    <w:rsid w:val="00C61A78"/>
    <w:rsid w:val="00C61DA4"/>
    <w:rsid w:val="00C6261C"/>
    <w:rsid w:val="00C6261E"/>
    <w:rsid w:val="00C6267E"/>
    <w:rsid w:val="00C630A4"/>
    <w:rsid w:val="00C63804"/>
    <w:rsid w:val="00C639A5"/>
    <w:rsid w:val="00C63DFC"/>
    <w:rsid w:val="00C63EDC"/>
    <w:rsid w:val="00C648EB"/>
    <w:rsid w:val="00C658D0"/>
    <w:rsid w:val="00C65E41"/>
    <w:rsid w:val="00C6644C"/>
    <w:rsid w:val="00C66687"/>
    <w:rsid w:val="00C669D1"/>
    <w:rsid w:val="00C67AFC"/>
    <w:rsid w:val="00C7097F"/>
    <w:rsid w:val="00C711BA"/>
    <w:rsid w:val="00C711D9"/>
    <w:rsid w:val="00C713B0"/>
    <w:rsid w:val="00C71CB8"/>
    <w:rsid w:val="00C71FC3"/>
    <w:rsid w:val="00C72D0C"/>
    <w:rsid w:val="00C7320C"/>
    <w:rsid w:val="00C73E33"/>
    <w:rsid w:val="00C740C6"/>
    <w:rsid w:val="00C742ED"/>
    <w:rsid w:val="00C7507E"/>
    <w:rsid w:val="00C7521A"/>
    <w:rsid w:val="00C7564C"/>
    <w:rsid w:val="00C75BC1"/>
    <w:rsid w:val="00C76073"/>
    <w:rsid w:val="00C76B69"/>
    <w:rsid w:val="00C77894"/>
    <w:rsid w:val="00C77EC9"/>
    <w:rsid w:val="00C77ED8"/>
    <w:rsid w:val="00C8166B"/>
    <w:rsid w:val="00C82468"/>
    <w:rsid w:val="00C836F7"/>
    <w:rsid w:val="00C837DE"/>
    <w:rsid w:val="00C8380F"/>
    <w:rsid w:val="00C83AD0"/>
    <w:rsid w:val="00C83AED"/>
    <w:rsid w:val="00C83E43"/>
    <w:rsid w:val="00C84EF9"/>
    <w:rsid w:val="00C851B6"/>
    <w:rsid w:val="00C863F9"/>
    <w:rsid w:val="00C86774"/>
    <w:rsid w:val="00C872E2"/>
    <w:rsid w:val="00C87797"/>
    <w:rsid w:val="00C877BC"/>
    <w:rsid w:val="00C87865"/>
    <w:rsid w:val="00C87DA8"/>
    <w:rsid w:val="00C90611"/>
    <w:rsid w:val="00C91326"/>
    <w:rsid w:val="00C91365"/>
    <w:rsid w:val="00C9156E"/>
    <w:rsid w:val="00C91890"/>
    <w:rsid w:val="00C923B4"/>
    <w:rsid w:val="00C92D94"/>
    <w:rsid w:val="00C92F0B"/>
    <w:rsid w:val="00C92F71"/>
    <w:rsid w:val="00C93A64"/>
    <w:rsid w:val="00C94492"/>
    <w:rsid w:val="00C94740"/>
    <w:rsid w:val="00C9511A"/>
    <w:rsid w:val="00C95AA6"/>
    <w:rsid w:val="00C95F04"/>
    <w:rsid w:val="00C96B0F"/>
    <w:rsid w:val="00C970F2"/>
    <w:rsid w:val="00C972F1"/>
    <w:rsid w:val="00C974F3"/>
    <w:rsid w:val="00C97C6F"/>
    <w:rsid w:val="00C97F03"/>
    <w:rsid w:val="00CA00E1"/>
    <w:rsid w:val="00CA02ED"/>
    <w:rsid w:val="00CA05BD"/>
    <w:rsid w:val="00CA0ABC"/>
    <w:rsid w:val="00CA1230"/>
    <w:rsid w:val="00CA250D"/>
    <w:rsid w:val="00CA2BF9"/>
    <w:rsid w:val="00CA2EA6"/>
    <w:rsid w:val="00CA31AD"/>
    <w:rsid w:val="00CA321A"/>
    <w:rsid w:val="00CA470F"/>
    <w:rsid w:val="00CA4A3D"/>
    <w:rsid w:val="00CA5ACB"/>
    <w:rsid w:val="00CA5C22"/>
    <w:rsid w:val="00CA5EBA"/>
    <w:rsid w:val="00CA7133"/>
    <w:rsid w:val="00CB094E"/>
    <w:rsid w:val="00CB0ABD"/>
    <w:rsid w:val="00CB0D2F"/>
    <w:rsid w:val="00CB0ED1"/>
    <w:rsid w:val="00CB15FC"/>
    <w:rsid w:val="00CB2924"/>
    <w:rsid w:val="00CB326F"/>
    <w:rsid w:val="00CB44D9"/>
    <w:rsid w:val="00CB49EC"/>
    <w:rsid w:val="00CB4C8E"/>
    <w:rsid w:val="00CB4FF8"/>
    <w:rsid w:val="00CB51F2"/>
    <w:rsid w:val="00CB5FA5"/>
    <w:rsid w:val="00CB6150"/>
    <w:rsid w:val="00CB6370"/>
    <w:rsid w:val="00CB68C6"/>
    <w:rsid w:val="00CB6CFA"/>
    <w:rsid w:val="00CB6DF6"/>
    <w:rsid w:val="00CB7D5E"/>
    <w:rsid w:val="00CB7FC1"/>
    <w:rsid w:val="00CC0B9A"/>
    <w:rsid w:val="00CC0DA7"/>
    <w:rsid w:val="00CC2513"/>
    <w:rsid w:val="00CC3811"/>
    <w:rsid w:val="00CC4B96"/>
    <w:rsid w:val="00CC53AC"/>
    <w:rsid w:val="00CC54F0"/>
    <w:rsid w:val="00CC5A63"/>
    <w:rsid w:val="00CC63BF"/>
    <w:rsid w:val="00CC6FBF"/>
    <w:rsid w:val="00CC7149"/>
    <w:rsid w:val="00CC72DE"/>
    <w:rsid w:val="00CC7D8A"/>
    <w:rsid w:val="00CD00B9"/>
    <w:rsid w:val="00CD1867"/>
    <w:rsid w:val="00CD1C98"/>
    <w:rsid w:val="00CD23B3"/>
    <w:rsid w:val="00CD3231"/>
    <w:rsid w:val="00CD3277"/>
    <w:rsid w:val="00CD48D4"/>
    <w:rsid w:val="00CD66AC"/>
    <w:rsid w:val="00CD7427"/>
    <w:rsid w:val="00CD7CF9"/>
    <w:rsid w:val="00CD7EE2"/>
    <w:rsid w:val="00CE0B24"/>
    <w:rsid w:val="00CE107B"/>
    <w:rsid w:val="00CE17D2"/>
    <w:rsid w:val="00CE204C"/>
    <w:rsid w:val="00CE23A5"/>
    <w:rsid w:val="00CE2C41"/>
    <w:rsid w:val="00CE3D5C"/>
    <w:rsid w:val="00CE44CD"/>
    <w:rsid w:val="00CE6136"/>
    <w:rsid w:val="00CE6EEC"/>
    <w:rsid w:val="00CE73AF"/>
    <w:rsid w:val="00CE7EDB"/>
    <w:rsid w:val="00CF01D8"/>
    <w:rsid w:val="00CF1761"/>
    <w:rsid w:val="00CF1F6E"/>
    <w:rsid w:val="00CF251B"/>
    <w:rsid w:val="00CF27A6"/>
    <w:rsid w:val="00CF2C8E"/>
    <w:rsid w:val="00CF31FC"/>
    <w:rsid w:val="00CF3244"/>
    <w:rsid w:val="00CF366B"/>
    <w:rsid w:val="00CF3AA1"/>
    <w:rsid w:val="00CF3BAD"/>
    <w:rsid w:val="00CF3C1D"/>
    <w:rsid w:val="00CF4244"/>
    <w:rsid w:val="00CF69CC"/>
    <w:rsid w:val="00CF7FB1"/>
    <w:rsid w:val="00D008EA"/>
    <w:rsid w:val="00D00BD2"/>
    <w:rsid w:val="00D01F55"/>
    <w:rsid w:val="00D03636"/>
    <w:rsid w:val="00D03C07"/>
    <w:rsid w:val="00D04103"/>
    <w:rsid w:val="00D04253"/>
    <w:rsid w:val="00D0434F"/>
    <w:rsid w:val="00D05277"/>
    <w:rsid w:val="00D0573F"/>
    <w:rsid w:val="00D057CA"/>
    <w:rsid w:val="00D05F49"/>
    <w:rsid w:val="00D066A4"/>
    <w:rsid w:val="00D06A4C"/>
    <w:rsid w:val="00D06CFA"/>
    <w:rsid w:val="00D06E90"/>
    <w:rsid w:val="00D07B18"/>
    <w:rsid w:val="00D07E5A"/>
    <w:rsid w:val="00D105CC"/>
    <w:rsid w:val="00D10A88"/>
    <w:rsid w:val="00D113BF"/>
    <w:rsid w:val="00D11625"/>
    <w:rsid w:val="00D11E5B"/>
    <w:rsid w:val="00D12019"/>
    <w:rsid w:val="00D13905"/>
    <w:rsid w:val="00D13C11"/>
    <w:rsid w:val="00D14C8E"/>
    <w:rsid w:val="00D15077"/>
    <w:rsid w:val="00D15906"/>
    <w:rsid w:val="00D1637F"/>
    <w:rsid w:val="00D16FB8"/>
    <w:rsid w:val="00D17464"/>
    <w:rsid w:val="00D1762B"/>
    <w:rsid w:val="00D17750"/>
    <w:rsid w:val="00D20C1C"/>
    <w:rsid w:val="00D218E3"/>
    <w:rsid w:val="00D219D7"/>
    <w:rsid w:val="00D22427"/>
    <w:rsid w:val="00D22F0A"/>
    <w:rsid w:val="00D23E62"/>
    <w:rsid w:val="00D24DEB"/>
    <w:rsid w:val="00D26C1B"/>
    <w:rsid w:val="00D27982"/>
    <w:rsid w:val="00D30586"/>
    <w:rsid w:val="00D313BE"/>
    <w:rsid w:val="00D3180E"/>
    <w:rsid w:val="00D3317C"/>
    <w:rsid w:val="00D3425E"/>
    <w:rsid w:val="00D34325"/>
    <w:rsid w:val="00D3523C"/>
    <w:rsid w:val="00D35771"/>
    <w:rsid w:val="00D3591F"/>
    <w:rsid w:val="00D35923"/>
    <w:rsid w:val="00D3595F"/>
    <w:rsid w:val="00D36858"/>
    <w:rsid w:val="00D36AF4"/>
    <w:rsid w:val="00D37620"/>
    <w:rsid w:val="00D3794E"/>
    <w:rsid w:val="00D37A58"/>
    <w:rsid w:val="00D37F2A"/>
    <w:rsid w:val="00D40055"/>
    <w:rsid w:val="00D4042C"/>
    <w:rsid w:val="00D412F5"/>
    <w:rsid w:val="00D41339"/>
    <w:rsid w:val="00D421AA"/>
    <w:rsid w:val="00D426DC"/>
    <w:rsid w:val="00D43090"/>
    <w:rsid w:val="00D43378"/>
    <w:rsid w:val="00D434D7"/>
    <w:rsid w:val="00D4351C"/>
    <w:rsid w:val="00D43800"/>
    <w:rsid w:val="00D439E1"/>
    <w:rsid w:val="00D439E3"/>
    <w:rsid w:val="00D44460"/>
    <w:rsid w:val="00D468A0"/>
    <w:rsid w:val="00D47126"/>
    <w:rsid w:val="00D47319"/>
    <w:rsid w:val="00D4761F"/>
    <w:rsid w:val="00D47C03"/>
    <w:rsid w:val="00D50279"/>
    <w:rsid w:val="00D50765"/>
    <w:rsid w:val="00D518F8"/>
    <w:rsid w:val="00D5207E"/>
    <w:rsid w:val="00D5254A"/>
    <w:rsid w:val="00D52831"/>
    <w:rsid w:val="00D53749"/>
    <w:rsid w:val="00D5478C"/>
    <w:rsid w:val="00D54C14"/>
    <w:rsid w:val="00D5510D"/>
    <w:rsid w:val="00D55DEE"/>
    <w:rsid w:val="00D56D5F"/>
    <w:rsid w:val="00D570BA"/>
    <w:rsid w:val="00D579F1"/>
    <w:rsid w:val="00D604F6"/>
    <w:rsid w:val="00D6152F"/>
    <w:rsid w:val="00D621D1"/>
    <w:rsid w:val="00D63087"/>
    <w:rsid w:val="00D63114"/>
    <w:rsid w:val="00D63645"/>
    <w:rsid w:val="00D6380C"/>
    <w:rsid w:val="00D63E7F"/>
    <w:rsid w:val="00D64488"/>
    <w:rsid w:val="00D65173"/>
    <w:rsid w:val="00D65323"/>
    <w:rsid w:val="00D6670A"/>
    <w:rsid w:val="00D66770"/>
    <w:rsid w:val="00D66A99"/>
    <w:rsid w:val="00D6700F"/>
    <w:rsid w:val="00D6703B"/>
    <w:rsid w:val="00D677E7"/>
    <w:rsid w:val="00D6783F"/>
    <w:rsid w:val="00D679EF"/>
    <w:rsid w:val="00D67C36"/>
    <w:rsid w:val="00D67CC6"/>
    <w:rsid w:val="00D70585"/>
    <w:rsid w:val="00D71462"/>
    <w:rsid w:val="00D740B6"/>
    <w:rsid w:val="00D742E5"/>
    <w:rsid w:val="00D74389"/>
    <w:rsid w:val="00D74468"/>
    <w:rsid w:val="00D750C6"/>
    <w:rsid w:val="00D75F4E"/>
    <w:rsid w:val="00D76024"/>
    <w:rsid w:val="00D77BA1"/>
    <w:rsid w:val="00D80B69"/>
    <w:rsid w:val="00D82C54"/>
    <w:rsid w:val="00D82CD7"/>
    <w:rsid w:val="00D82D6A"/>
    <w:rsid w:val="00D8407D"/>
    <w:rsid w:val="00D840B2"/>
    <w:rsid w:val="00D8467C"/>
    <w:rsid w:val="00D876C0"/>
    <w:rsid w:val="00D8772B"/>
    <w:rsid w:val="00D87AA4"/>
    <w:rsid w:val="00D87C34"/>
    <w:rsid w:val="00D90B00"/>
    <w:rsid w:val="00D90B0B"/>
    <w:rsid w:val="00D90D5B"/>
    <w:rsid w:val="00D90DF6"/>
    <w:rsid w:val="00D912E3"/>
    <w:rsid w:val="00D9205B"/>
    <w:rsid w:val="00D92541"/>
    <w:rsid w:val="00D935F1"/>
    <w:rsid w:val="00D94F92"/>
    <w:rsid w:val="00D94FD3"/>
    <w:rsid w:val="00D95849"/>
    <w:rsid w:val="00D95B6B"/>
    <w:rsid w:val="00D95D69"/>
    <w:rsid w:val="00D95E54"/>
    <w:rsid w:val="00D96C1D"/>
    <w:rsid w:val="00D97254"/>
    <w:rsid w:val="00D97C8E"/>
    <w:rsid w:val="00DA071A"/>
    <w:rsid w:val="00DA0806"/>
    <w:rsid w:val="00DA155F"/>
    <w:rsid w:val="00DA1B2E"/>
    <w:rsid w:val="00DA228A"/>
    <w:rsid w:val="00DA265C"/>
    <w:rsid w:val="00DA311F"/>
    <w:rsid w:val="00DA3675"/>
    <w:rsid w:val="00DA39E7"/>
    <w:rsid w:val="00DA40AE"/>
    <w:rsid w:val="00DA4EAE"/>
    <w:rsid w:val="00DA56D7"/>
    <w:rsid w:val="00DA7298"/>
    <w:rsid w:val="00DB0C98"/>
    <w:rsid w:val="00DB1D91"/>
    <w:rsid w:val="00DB3A78"/>
    <w:rsid w:val="00DB40B3"/>
    <w:rsid w:val="00DB4167"/>
    <w:rsid w:val="00DB4D08"/>
    <w:rsid w:val="00DB54CE"/>
    <w:rsid w:val="00DB5BA9"/>
    <w:rsid w:val="00DB650F"/>
    <w:rsid w:val="00DB6A2F"/>
    <w:rsid w:val="00DB6DE0"/>
    <w:rsid w:val="00DB787F"/>
    <w:rsid w:val="00DB78E9"/>
    <w:rsid w:val="00DC00A9"/>
    <w:rsid w:val="00DC18E6"/>
    <w:rsid w:val="00DC20D3"/>
    <w:rsid w:val="00DC28CD"/>
    <w:rsid w:val="00DC2EFF"/>
    <w:rsid w:val="00DC2F3E"/>
    <w:rsid w:val="00DC30E8"/>
    <w:rsid w:val="00DC329B"/>
    <w:rsid w:val="00DC4124"/>
    <w:rsid w:val="00DC424C"/>
    <w:rsid w:val="00DC4F17"/>
    <w:rsid w:val="00DC514D"/>
    <w:rsid w:val="00DC709C"/>
    <w:rsid w:val="00DC711C"/>
    <w:rsid w:val="00DC7483"/>
    <w:rsid w:val="00DC75E8"/>
    <w:rsid w:val="00DC7A4A"/>
    <w:rsid w:val="00DC7D1B"/>
    <w:rsid w:val="00DD0273"/>
    <w:rsid w:val="00DD0A97"/>
    <w:rsid w:val="00DD1043"/>
    <w:rsid w:val="00DD13DA"/>
    <w:rsid w:val="00DD1FEF"/>
    <w:rsid w:val="00DD22F2"/>
    <w:rsid w:val="00DD2EBF"/>
    <w:rsid w:val="00DD3E0F"/>
    <w:rsid w:val="00DD4076"/>
    <w:rsid w:val="00DD4D6B"/>
    <w:rsid w:val="00DD4F9E"/>
    <w:rsid w:val="00DD5466"/>
    <w:rsid w:val="00DD5AA4"/>
    <w:rsid w:val="00DD6547"/>
    <w:rsid w:val="00DD68A4"/>
    <w:rsid w:val="00DD6ECB"/>
    <w:rsid w:val="00DE029B"/>
    <w:rsid w:val="00DE0E0B"/>
    <w:rsid w:val="00DE17EF"/>
    <w:rsid w:val="00DE2630"/>
    <w:rsid w:val="00DE2A3A"/>
    <w:rsid w:val="00DE2B33"/>
    <w:rsid w:val="00DE3FF0"/>
    <w:rsid w:val="00DE454E"/>
    <w:rsid w:val="00DE4EDC"/>
    <w:rsid w:val="00DE5044"/>
    <w:rsid w:val="00DE58B5"/>
    <w:rsid w:val="00DE5AE6"/>
    <w:rsid w:val="00DE69B8"/>
    <w:rsid w:val="00DE6C61"/>
    <w:rsid w:val="00DE6C86"/>
    <w:rsid w:val="00DE7100"/>
    <w:rsid w:val="00DE7337"/>
    <w:rsid w:val="00DE768E"/>
    <w:rsid w:val="00DE77CF"/>
    <w:rsid w:val="00DF0713"/>
    <w:rsid w:val="00DF0891"/>
    <w:rsid w:val="00DF18EC"/>
    <w:rsid w:val="00DF3081"/>
    <w:rsid w:val="00DF3A3C"/>
    <w:rsid w:val="00DF3EF5"/>
    <w:rsid w:val="00DF44A1"/>
    <w:rsid w:val="00DF4622"/>
    <w:rsid w:val="00DF48E1"/>
    <w:rsid w:val="00DF4932"/>
    <w:rsid w:val="00DF4A25"/>
    <w:rsid w:val="00DF4D54"/>
    <w:rsid w:val="00DF4EEB"/>
    <w:rsid w:val="00DF548C"/>
    <w:rsid w:val="00DF757B"/>
    <w:rsid w:val="00DF7ADC"/>
    <w:rsid w:val="00E00885"/>
    <w:rsid w:val="00E00FE7"/>
    <w:rsid w:val="00E011CF"/>
    <w:rsid w:val="00E01CAA"/>
    <w:rsid w:val="00E02724"/>
    <w:rsid w:val="00E029D9"/>
    <w:rsid w:val="00E02CB7"/>
    <w:rsid w:val="00E02E38"/>
    <w:rsid w:val="00E03743"/>
    <w:rsid w:val="00E03765"/>
    <w:rsid w:val="00E03A0C"/>
    <w:rsid w:val="00E03A3B"/>
    <w:rsid w:val="00E03C3C"/>
    <w:rsid w:val="00E0456C"/>
    <w:rsid w:val="00E05070"/>
    <w:rsid w:val="00E0572D"/>
    <w:rsid w:val="00E05D76"/>
    <w:rsid w:val="00E05FD9"/>
    <w:rsid w:val="00E0642D"/>
    <w:rsid w:val="00E07026"/>
    <w:rsid w:val="00E104D8"/>
    <w:rsid w:val="00E10933"/>
    <w:rsid w:val="00E113B2"/>
    <w:rsid w:val="00E11B29"/>
    <w:rsid w:val="00E12300"/>
    <w:rsid w:val="00E130FB"/>
    <w:rsid w:val="00E13239"/>
    <w:rsid w:val="00E13DCB"/>
    <w:rsid w:val="00E144E2"/>
    <w:rsid w:val="00E14C9B"/>
    <w:rsid w:val="00E16708"/>
    <w:rsid w:val="00E16729"/>
    <w:rsid w:val="00E168C0"/>
    <w:rsid w:val="00E16FE5"/>
    <w:rsid w:val="00E1704C"/>
    <w:rsid w:val="00E17DB3"/>
    <w:rsid w:val="00E20146"/>
    <w:rsid w:val="00E20831"/>
    <w:rsid w:val="00E20B13"/>
    <w:rsid w:val="00E20D88"/>
    <w:rsid w:val="00E22A39"/>
    <w:rsid w:val="00E24500"/>
    <w:rsid w:val="00E2487A"/>
    <w:rsid w:val="00E24C61"/>
    <w:rsid w:val="00E25188"/>
    <w:rsid w:val="00E25209"/>
    <w:rsid w:val="00E25B13"/>
    <w:rsid w:val="00E26668"/>
    <w:rsid w:val="00E26CF0"/>
    <w:rsid w:val="00E2702C"/>
    <w:rsid w:val="00E27162"/>
    <w:rsid w:val="00E314C6"/>
    <w:rsid w:val="00E326F8"/>
    <w:rsid w:val="00E32732"/>
    <w:rsid w:val="00E3278C"/>
    <w:rsid w:val="00E32947"/>
    <w:rsid w:val="00E34F5C"/>
    <w:rsid w:val="00E3610E"/>
    <w:rsid w:val="00E366D0"/>
    <w:rsid w:val="00E367AB"/>
    <w:rsid w:val="00E367D6"/>
    <w:rsid w:val="00E37255"/>
    <w:rsid w:val="00E3766D"/>
    <w:rsid w:val="00E3798E"/>
    <w:rsid w:val="00E400E2"/>
    <w:rsid w:val="00E408E9"/>
    <w:rsid w:val="00E4119B"/>
    <w:rsid w:val="00E411A9"/>
    <w:rsid w:val="00E42937"/>
    <w:rsid w:val="00E4317F"/>
    <w:rsid w:val="00E438C6"/>
    <w:rsid w:val="00E43FC6"/>
    <w:rsid w:val="00E44984"/>
    <w:rsid w:val="00E45A15"/>
    <w:rsid w:val="00E45DA5"/>
    <w:rsid w:val="00E46CC1"/>
    <w:rsid w:val="00E479E5"/>
    <w:rsid w:val="00E50359"/>
    <w:rsid w:val="00E50372"/>
    <w:rsid w:val="00E505FA"/>
    <w:rsid w:val="00E52036"/>
    <w:rsid w:val="00E521D0"/>
    <w:rsid w:val="00E528C0"/>
    <w:rsid w:val="00E53979"/>
    <w:rsid w:val="00E5426F"/>
    <w:rsid w:val="00E5461F"/>
    <w:rsid w:val="00E54670"/>
    <w:rsid w:val="00E54800"/>
    <w:rsid w:val="00E54B7A"/>
    <w:rsid w:val="00E563F7"/>
    <w:rsid w:val="00E56869"/>
    <w:rsid w:val="00E5691F"/>
    <w:rsid w:val="00E56BA1"/>
    <w:rsid w:val="00E56CFF"/>
    <w:rsid w:val="00E57850"/>
    <w:rsid w:val="00E6097D"/>
    <w:rsid w:val="00E60B1E"/>
    <w:rsid w:val="00E61082"/>
    <w:rsid w:val="00E61884"/>
    <w:rsid w:val="00E61ABC"/>
    <w:rsid w:val="00E61D85"/>
    <w:rsid w:val="00E6268F"/>
    <w:rsid w:val="00E62DD3"/>
    <w:rsid w:val="00E63C2B"/>
    <w:rsid w:val="00E655E5"/>
    <w:rsid w:val="00E6589B"/>
    <w:rsid w:val="00E66E10"/>
    <w:rsid w:val="00E6708B"/>
    <w:rsid w:val="00E67263"/>
    <w:rsid w:val="00E7191C"/>
    <w:rsid w:val="00E72084"/>
    <w:rsid w:val="00E72D1E"/>
    <w:rsid w:val="00E73117"/>
    <w:rsid w:val="00E7313E"/>
    <w:rsid w:val="00E743EF"/>
    <w:rsid w:val="00E74C61"/>
    <w:rsid w:val="00E74E41"/>
    <w:rsid w:val="00E76E89"/>
    <w:rsid w:val="00E80404"/>
    <w:rsid w:val="00E80D2B"/>
    <w:rsid w:val="00E812AC"/>
    <w:rsid w:val="00E824B3"/>
    <w:rsid w:val="00E82CC0"/>
    <w:rsid w:val="00E83985"/>
    <w:rsid w:val="00E83DCF"/>
    <w:rsid w:val="00E84769"/>
    <w:rsid w:val="00E84E38"/>
    <w:rsid w:val="00E84EFB"/>
    <w:rsid w:val="00E85D40"/>
    <w:rsid w:val="00E8704D"/>
    <w:rsid w:val="00E879C1"/>
    <w:rsid w:val="00E87BD7"/>
    <w:rsid w:val="00E90131"/>
    <w:rsid w:val="00E905F6"/>
    <w:rsid w:val="00E905FF"/>
    <w:rsid w:val="00E90CE2"/>
    <w:rsid w:val="00E917B8"/>
    <w:rsid w:val="00E917E4"/>
    <w:rsid w:val="00E91FB2"/>
    <w:rsid w:val="00E9239F"/>
    <w:rsid w:val="00E9290F"/>
    <w:rsid w:val="00E92A54"/>
    <w:rsid w:val="00E92AA1"/>
    <w:rsid w:val="00E9381B"/>
    <w:rsid w:val="00E938FC"/>
    <w:rsid w:val="00E9435E"/>
    <w:rsid w:val="00E9507A"/>
    <w:rsid w:val="00E9593B"/>
    <w:rsid w:val="00E95E49"/>
    <w:rsid w:val="00E95F5A"/>
    <w:rsid w:val="00E960A0"/>
    <w:rsid w:val="00E96B4C"/>
    <w:rsid w:val="00E96C62"/>
    <w:rsid w:val="00E97046"/>
    <w:rsid w:val="00E971C9"/>
    <w:rsid w:val="00E974F8"/>
    <w:rsid w:val="00EA01A2"/>
    <w:rsid w:val="00EA0A74"/>
    <w:rsid w:val="00EA0BC2"/>
    <w:rsid w:val="00EA1385"/>
    <w:rsid w:val="00EA1817"/>
    <w:rsid w:val="00EA1C26"/>
    <w:rsid w:val="00EA1C9C"/>
    <w:rsid w:val="00EA1FEA"/>
    <w:rsid w:val="00EA20FF"/>
    <w:rsid w:val="00EA2809"/>
    <w:rsid w:val="00EA34FF"/>
    <w:rsid w:val="00EA3AC1"/>
    <w:rsid w:val="00EA4251"/>
    <w:rsid w:val="00EA477D"/>
    <w:rsid w:val="00EA47D5"/>
    <w:rsid w:val="00EA4E27"/>
    <w:rsid w:val="00EA6DF9"/>
    <w:rsid w:val="00EA757C"/>
    <w:rsid w:val="00EA7806"/>
    <w:rsid w:val="00EB0C3A"/>
    <w:rsid w:val="00EB111E"/>
    <w:rsid w:val="00EB1A30"/>
    <w:rsid w:val="00EB1C5C"/>
    <w:rsid w:val="00EB2AE4"/>
    <w:rsid w:val="00EB2DAE"/>
    <w:rsid w:val="00EB3744"/>
    <w:rsid w:val="00EB3D63"/>
    <w:rsid w:val="00EB4E51"/>
    <w:rsid w:val="00EB5F4B"/>
    <w:rsid w:val="00EB7679"/>
    <w:rsid w:val="00EC0156"/>
    <w:rsid w:val="00EC0293"/>
    <w:rsid w:val="00EC039E"/>
    <w:rsid w:val="00EC0DAC"/>
    <w:rsid w:val="00EC0DCE"/>
    <w:rsid w:val="00EC13A7"/>
    <w:rsid w:val="00EC1458"/>
    <w:rsid w:val="00EC1F72"/>
    <w:rsid w:val="00EC2A51"/>
    <w:rsid w:val="00EC3583"/>
    <w:rsid w:val="00EC40E9"/>
    <w:rsid w:val="00EC4295"/>
    <w:rsid w:val="00EC52A6"/>
    <w:rsid w:val="00EC6317"/>
    <w:rsid w:val="00EC69ED"/>
    <w:rsid w:val="00EC6A06"/>
    <w:rsid w:val="00EC6CB0"/>
    <w:rsid w:val="00EC787A"/>
    <w:rsid w:val="00ED0B83"/>
    <w:rsid w:val="00ED0DE9"/>
    <w:rsid w:val="00ED1BDF"/>
    <w:rsid w:val="00ED1EDF"/>
    <w:rsid w:val="00ED24A3"/>
    <w:rsid w:val="00ED2BB5"/>
    <w:rsid w:val="00ED3A5A"/>
    <w:rsid w:val="00ED3B32"/>
    <w:rsid w:val="00ED416F"/>
    <w:rsid w:val="00ED4C22"/>
    <w:rsid w:val="00ED5F09"/>
    <w:rsid w:val="00ED5F12"/>
    <w:rsid w:val="00EE0160"/>
    <w:rsid w:val="00EE0955"/>
    <w:rsid w:val="00EE1E73"/>
    <w:rsid w:val="00EE1F25"/>
    <w:rsid w:val="00EE262F"/>
    <w:rsid w:val="00EE2A44"/>
    <w:rsid w:val="00EE2EDF"/>
    <w:rsid w:val="00EE3ACC"/>
    <w:rsid w:val="00EE4156"/>
    <w:rsid w:val="00EE4443"/>
    <w:rsid w:val="00EE4509"/>
    <w:rsid w:val="00EE5DE6"/>
    <w:rsid w:val="00EE6ADD"/>
    <w:rsid w:val="00EE6B0A"/>
    <w:rsid w:val="00EE782B"/>
    <w:rsid w:val="00EF199C"/>
    <w:rsid w:val="00EF1DEB"/>
    <w:rsid w:val="00EF1DF9"/>
    <w:rsid w:val="00EF1FE0"/>
    <w:rsid w:val="00EF2202"/>
    <w:rsid w:val="00EF2343"/>
    <w:rsid w:val="00EF3661"/>
    <w:rsid w:val="00EF3DE7"/>
    <w:rsid w:val="00EF509B"/>
    <w:rsid w:val="00EF5837"/>
    <w:rsid w:val="00EF610C"/>
    <w:rsid w:val="00EF6B7E"/>
    <w:rsid w:val="00F00281"/>
    <w:rsid w:val="00F00603"/>
    <w:rsid w:val="00F007CB"/>
    <w:rsid w:val="00F013AF"/>
    <w:rsid w:val="00F01DDE"/>
    <w:rsid w:val="00F02361"/>
    <w:rsid w:val="00F0315C"/>
    <w:rsid w:val="00F0497A"/>
    <w:rsid w:val="00F0553B"/>
    <w:rsid w:val="00F0577C"/>
    <w:rsid w:val="00F0591D"/>
    <w:rsid w:val="00F06219"/>
    <w:rsid w:val="00F071E8"/>
    <w:rsid w:val="00F0794D"/>
    <w:rsid w:val="00F07AC7"/>
    <w:rsid w:val="00F107D5"/>
    <w:rsid w:val="00F114A7"/>
    <w:rsid w:val="00F12064"/>
    <w:rsid w:val="00F124CE"/>
    <w:rsid w:val="00F12C0A"/>
    <w:rsid w:val="00F13F0B"/>
    <w:rsid w:val="00F140E4"/>
    <w:rsid w:val="00F16E22"/>
    <w:rsid w:val="00F16FA8"/>
    <w:rsid w:val="00F1735E"/>
    <w:rsid w:val="00F1747A"/>
    <w:rsid w:val="00F217E7"/>
    <w:rsid w:val="00F21CAB"/>
    <w:rsid w:val="00F21EF1"/>
    <w:rsid w:val="00F22ADC"/>
    <w:rsid w:val="00F23AE2"/>
    <w:rsid w:val="00F23FC8"/>
    <w:rsid w:val="00F252D8"/>
    <w:rsid w:val="00F2536B"/>
    <w:rsid w:val="00F26266"/>
    <w:rsid w:val="00F26950"/>
    <w:rsid w:val="00F27321"/>
    <w:rsid w:val="00F3076E"/>
    <w:rsid w:val="00F30ABE"/>
    <w:rsid w:val="00F30F3A"/>
    <w:rsid w:val="00F31F23"/>
    <w:rsid w:val="00F324C3"/>
    <w:rsid w:val="00F330D7"/>
    <w:rsid w:val="00F33955"/>
    <w:rsid w:val="00F33C1E"/>
    <w:rsid w:val="00F33D0B"/>
    <w:rsid w:val="00F33FE3"/>
    <w:rsid w:val="00F35A88"/>
    <w:rsid w:val="00F364AF"/>
    <w:rsid w:val="00F37155"/>
    <w:rsid w:val="00F37CC7"/>
    <w:rsid w:val="00F412E3"/>
    <w:rsid w:val="00F41DA6"/>
    <w:rsid w:val="00F42168"/>
    <w:rsid w:val="00F422DD"/>
    <w:rsid w:val="00F426D2"/>
    <w:rsid w:val="00F42DBF"/>
    <w:rsid w:val="00F42E37"/>
    <w:rsid w:val="00F437FF"/>
    <w:rsid w:val="00F43955"/>
    <w:rsid w:val="00F46091"/>
    <w:rsid w:val="00F47656"/>
    <w:rsid w:val="00F50045"/>
    <w:rsid w:val="00F505E9"/>
    <w:rsid w:val="00F5130E"/>
    <w:rsid w:val="00F51A2F"/>
    <w:rsid w:val="00F52335"/>
    <w:rsid w:val="00F527A1"/>
    <w:rsid w:val="00F545A1"/>
    <w:rsid w:val="00F5487A"/>
    <w:rsid w:val="00F55C64"/>
    <w:rsid w:val="00F55E56"/>
    <w:rsid w:val="00F55FBA"/>
    <w:rsid w:val="00F56801"/>
    <w:rsid w:val="00F56965"/>
    <w:rsid w:val="00F56D4F"/>
    <w:rsid w:val="00F56F65"/>
    <w:rsid w:val="00F60807"/>
    <w:rsid w:val="00F60830"/>
    <w:rsid w:val="00F60A09"/>
    <w:rsid w:val="00F617C5"/>
    <w:rsid w:val="00F626CA"/>
    <w:rsid w:val="00F62B33"/>
    <w:rsid w:val="00F62E95"/>
    <w:rsid w:val="00F6301F"/>
    <w:rsid w:val="00F652A2"/>
    <w:rsid w:val="00F65A48"/>
    <w:rsid w:val="00F67071"/>
    <w:rsid w:val="00F70502"/>
    <w:rsid w:val="00F7093B"/>
    <w:rsid w:val="00F70A9C"/>
    <w:rsid w:val="00F71731"/>
    <w:rsid w:val="00F717E2"/>
    <w:rsid w:val="00F72703"/>
    <w:rsid w:val="00F72F16"/>
    <w:rsid w:val="00F7384C"/>
    <w:rsid w:val="00F74CA6"/>
    <w:rsid w:val="00F74CBB"/>
    <w:rsid w:val="00F75B2B"/>
    <w:rsid w:val="00F75B3A"/>
    <w:rsid w:val="00F76484"/>
    <w:rsid w:val="00F77CE2"/>
    <w:rsid w:val="00F806DA"/>
    <w:rsid w:val="00F8196A"/>
    <w:rsid w:val="00F82599"/>
    <w:rsid w:val="00F82DA8"/>
    <w:rsid w:val="00F8441E"/>
    <w:rsid w:val="00F844DB"/>
    <w:rsid w:val="00F84DF3"/>
    <w:rsid w:val="00F85E7D"/>
    <w:rsid w:val="00F8695E"/>
    <w:rsid w:val="00F900DB"/>
    <w:rsid w:val="00F92298"/>
    <w:rsid w:val="00F92BBB"/>
    <w:rsid w:val="00F93F62"/>
    <w:rsid w:val="00F94AB1"/>
    <w:rsid w:val="00F96451"/>
    <w:rsid w:val="00F96961"/>
    <w:rsid w:val="00F96CF5"/>
    <w:rsid w:val="00F9761B"/>
    <w:rsid w:val="00F97B70"/>
    <w:rsid w:val="00FA0CEA"/>
    <w:rsid w:val="00FA0E8C"/>
    <w:rsid w:val="00FA17FF"/>
    <w:rsid w:val="00FA2752"/>
    <w:rsid w:val="00FA3BF0"/>
    <w:rsid w:val="00FA4FC3"/>
    <w:rsid w:val="00FA61DD"/>
    <w:rsid w:val="00FA6488"/>
    <w:rsid w:val="00FA666E"/>
    <w:rsid w:val="00FA6772"/>
    <w:rsid w:val="00FA693D"/>
    <w:rsid w:val="00FB070B"/>
    <w:rsid w:val="00FB1130"/>
    <w:rsid w:val="00FB2DB1"/>
    <w:rsid w:val="00FB3766"/>
    <w:rsid w:val="00FB3B82"/>
    <w:rsid w:val="00FB4673"/>
    <w:rsid w:val="00FB4711"/>
    <w:rsid w:val="00FB4BAC"/>
    <w:rsid w:val="00FB5454"/>
    <w:rsid w:val="00FB5C8B"/>
    <w:rsid w:val="00FB76C7"/>
    <w:rsid w:val="00FC028E"/>
    <w:rsid w:val="00FC1291"/>
    <w:rsid w:val="00FC214C"/>
    <w:rsid w:val="00FC255E"/>
    <w:rsid w:val="00FC2A5E"/>
    <w:rsid w:val="00FC2D81"/>
    <w:rsid w:val="00FC36E1"/>
    <w:rsid w:val="00FC39E0"/>
    <w:rsid w:val="00FC5E49"/>
    <w:rsid w:val="00FC672F"/>
    <w:rsid w:val="00FC696E"/>
    <w:rsid w:val="00FD09F1"/>
    <w:rsid w:val="00FD1761"/>
    <w:rsid w:val="00FD340A"/>
    <w:rsid w:val="00FD5DB7"/>
    <w:rsid w:val="00FD66B0"/>
    <w:rsid w:val="00FD6B06"/>
    <w:rsid w:val="00FD6F7E"/>
    <w:rsid w:val="00FD7AD1"/>
    <w:rsid w:val="00FD7C3D"/>
    <w:rsid w:val="00FD7CC6"/>
    <w:rsid w:val="00FE09B4"/>
    <w:rsid w:val="00FE14F0"/>
    <w:rsid w:val="00FE1BDB"/>
    <w:rsid w:val="00FE23DF"/>
    <w:rsid w:val="00FE245F"/>
    <w:rsid w:val="00FE2DB9"/>
    <w:rsid w:val="00FE34EE"/>
    <w:rsid w:val="00FE352D"/>
    <w:rsid w:val="00FE40D6"/>
    <w:rsid w:val="00FE4823"/>
    <w:rsid w:val="00FE4EC2"/>
    <w:rsid w:val="00FE5165"/>
    <w:rsid w:val="00FE5692"/>
    <w:rsid w:val="00FE6231"/>
    <w:rsid w:val="00FE640A"/>
    <w:rsid w:val="00FE67E9"/>
    <w:rsid w:val="00FE71A2"/>
    <w:rsid w:val="00FE7612"/>
    <w:rsid w:val="00FE79CB"/>
    <w:rsid w:val="00FE7DAA"/>
    <w:rsid w:val="00FF0CB7"/>
    <w:rsid w:val="00FF0F2D"/>
    <w:rsid w:val="00FF10A1"/>
    <w:rsid w:val="00FF1638"/>
    <w:rsid w:val="00FF1C37"/>
    <w:rsid w:val="00FF1E03"/>
    <w:rsid w:val="00FF1F19"/>
    <w:rsid w:val="00FF213A"/>
    <w:rsid w:val="00FF2D40"/>
    <w:rsid w:val="00FF31B3"/>
    <w:rsid w:val="00FF3AFF"/>
    <w:rsid w:val="00FF3E61"/>
    <w:rsid w:val="00FF3EC7"/>
    <w:rsid w:val="00FF3FFE"/>
    <w:rsid w:val="00FF4622"/>
    <w:rsid w:val="00FF623D"/>
    <w:rsid w:val="00FF7043"/>
    <w:rsid w:val="00FF72AF"/>
    <w:rsid w:val="00FF756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EAAB03"/>
  <w15:docId w15:val="{0103C046-B163-4B9F-A237-7BA8759EC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FBF"/>
  </w:style>
  <w:style w:type="paragraph" w:styleId="Heading1">
    <w:name w:val="heading 1"/>
    <w:basedOn w:val="Normal"/>
    <w:link w:val="Heading1Char"/>
    <w:uiPriority w:val="9"/>
    <w:qFormat/>
    <w:rsid w:val="0003214A"/>
    <w:pPr>
      <w:widowControl w:val="0"/>
      <w:autoSpaceDE w:val="0"/>
      <w:autoSpaceDN w:val="0"/>
      <w:spacing w:after="0" w:line="240" w:lineRule="auto"/>
      <w:ind w:left="940"/>
      <w:jc w:val="both"/>
      <w:outlineLvl w:val="0"/>
    </w:pPr>
    <w:rPr>
      <w:rFonts w:ascii="Cambria" w:eastAsia="Cambria" w:hAnsi="Cambria" w:cs="Cambria"/>
      <w:b/>
      <w:bCs/>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A33088"/>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11"/>
    <w:rsid w:val="00A33088"/>
    <w:rPr>
      <w:rFonts w:ascii="Cambria" w:eastAsia="Times New Roman" w:hAnsi="Cambria" w:cs="Times New Roman"/>
      <w:i/>
      <w:iCs/>
      <w:color w:val="4F81BD"/>
      <w:spacing w:val="15"/>
      <w:sz w:val="24"/>
      <w:szCs w:val="24"/>
      <w:lang w:val="en-US"/>
    </w:rPr>
  </w:style>
  <w:style w:type="paragraph" w:styleId="ListParagraph">
    <w:name w:val="List Paragraph"/>
    <w:aliases w:val="Resume Title,heading 4,Citation List,Ha,Graphic,List Paragraph1,Style 9,Heading 41,Report Para,WinDForce-Letter,Medium Grid 1 - Accent 21,Annexure,heading 9,Bullet 05,Paragraphe de liste1,Normal 1,Paragraphe de liste11,List Paragraph v1"/>
    <w:basedOn w:val="Normal"/>
    <w:link w:val="ListParagraphChar"/>
    <w:uiPriority w:val="34"/>
    <w:qFormat/>
    <w:rsid w:val="00E66E10"/>
    <w:pPr>
      <w:ind w:left="720"/>
      <w:contextualSpacing/>
    </w:pPr>
  </w:style>
  <w:style w:type="paragraph" w:styleId="BalloonText">
    <w:name w:val="Balloon Text"/>
    <w:basedOn w:val="Normal"/>
    <w:link w:val="BalloonTextChar"/>
    <w:uiPriority w:val="99"/>
    <w:semiHidden/>
    <w:unhideWhenUsed/>
    <w:rsid w:val="007C7B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B8C"/>
    <w:rPr>
      <w:rFonts w:ascii="Tahoma" w:hAnsi="Tahoma" w:cs="Tahoma"/>
      <w:sz w:val="16"/>
      <w:szCs w:val="16"/>
    </w:rPr>
  </w:style>
  <w:style w:type="character" w:customStyle="1" w:styleId="ListParagraphChar">
    <w:name w:val="List Paragraph Char"/>
    <w:aliases w:val="Resume Title Char,heading 4 Char,Citation List Char,Ha Char,Graphic Char,List Paragraph1 Char,Style 9 Char,Heading 41 Char,Report Para Char,WinDForce-Letter Char,Medium Grid 1 - Accent 21 Char,Annexure Char,heading 9 Char"/>
    <w:link w:val="ListParagraph"/>
    <w:uiPriority w:val="34"/>
    <w:qFormat/>
    <w:locked/>
    <w:rsid w:val="00C83AED"/>
  </w:style>
  <w:style w:type="paragraph" w:styleId="BodyTextIndent3">
    <w:name w:val="Body Text Indent 3"/>
    <w:basedOn w:val="Normal"/>
    <w:link w:val="BodyTextIndent3Char"/>
    <w:uiPriority w:val="99"/>
    <w:semiHidden/>
    <w:unhideWhenUsed/>
    <w:rsid w:val="00E00FE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00FE7"/>
    <w:rPr>
      <w:sz w:val="16"/>
      <w:szCs w:val="16"/>
    </w:rPr>
  </w:style>
  <w:style w:type="table" w:styleId="TableGrid">
    <w:name w:val="Table Grid"/>
    <w:basedOn w:val="TableNormal"/>
    <w:uiPriority w:val="59"/>
    <w:rsid w:val="00A7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C39"/>
    <w:rPr>
      <w:color w:val="0000FF"/>
      <w:u w:val="single"/>
    </w:rPr>
  </w:style>
  <w:style w:type="paragraph" w:styleId="NoSpacing">
    <w:name w:val="No Spacing"/>
    <w:uiPriority w:val="1"/>
    <w:qFormat/>
    <w:rsid w:val="00F55E56"/>
    <w:pPr>
      <w:spacing w:after="0" w:line="240" w:lineRule="auto"/>
    </w:pPr>
    <w:rPr>
      <w:rFonts w:ascii="Calibri" w:eastAsia="Calibri" w:hAnsi="Calibri" w:cs="Times New Roman"/>
      <w:lang w:val="en-US"/>
    </w:rPr>
  </w:style>
  <w:style w:type="paragraph" w:styleId="Revision">
    <w:name w:val="Revision"/>
    <w:hidden/>
    <w:uiPriority w:val="99"/>
    <w:semiHidden/>
    <w:rsid w:val="003D0C0A"/>
    <w:pPr>
      <w:spacing w:after="0" w:line="240" w:lineRule="auto"/>
    </w:pPr>
  </w:style>
  <w:style w:type="paragraph" w:styleId="BodyText">
    <w:name w:val="Body Text"/>
    <w:basedOn w:val="Normal"/>
    <w:link w:val="BodyTextChar"/>
    <w:uiPriority w:val="99"/>
    <w:semiHidden/>
    <w:unhideWhenUsed/>
    <w:rsid w:val="00521D8B"/>
    <w:pPr>
      <w:spacing w:after="120"/>
    </w:pPr>
  </w:style>
  <w:style w:type="character" w:customStyle="1" w:styleId="BodyTextChar">
    <w:name w:val="Body Text Char"/>
    <w:basedOn w:val="DefaultParagraphFont"/>
    <w:link w:val="BodyText"/>
    <w:uiPriority w:val="1"/>
    <w:rsid w:val="00521D8B"/>
  </w:style>
  <w:style w:type="character" w:styleId="UnresolvedMention">
    <w:name w:val="Unresolved Mention"/>
    <w:basedOn w:val="DefaultParagraphFont"/>
    <w:uiPriority w:val="99"/>
    <w:semiHidden/>
    <w:unhideWhenUsed/>
    <w:rsid w:val="00B03E34"/>
    <w:rPr>
      <w:color w:val="605E5C"/>
      <w:shd w:val="clear" w:color="auto" w:fill="E1DFDD"/>
    </w:rPr>
  </w:style>
  <w:style w:type="paragraph" w:styleId="Header">
    <w:name w:val="header"/>
    <w:basedOn w:val="Normal"/>
    <w:link w:val="HeaderChar"/>
    <w:uiPriority w:val="99"/>
    <w:unhideWhenUsed/>
    <w:rsid w:val="00B910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10C9"/>
  </w:style>
  <w:style w:type="paragraph" w:styleId="Footer">
    <w:name w:val="footer"/>
    <w:basedOn w:val="Normal"/>
    <w:link w:val="FooterChar"/>
    <w:uiPriority w:val="99"/>
    <w:unhideWhenUsed/>
    <w:rsid w:val="00B910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10C9"/>
  </w:style>
  <w:style w:type="character" w:customStyle="1" w:styleId="Heading1Char">
    <w:name w:val="Heading 1 Char"/>
    <w:basedOn w:val="DefaultParagraphFont"/>
    <w:link w:val="Heading1"/>
    <w:uiPriority w:val="9"/>
    <w:rsid w:val="0003214A"/>
    <w:rPr>
      <w:rFonts w:ascii="Cambria" w:eastAsia="Cambria" w:hAnsi="Cambria" w:cs="Cambria"/>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91">
      <w:bodyDiv w:val="1"/>
      <w:marLeft w:val="0"/>
      <w:marRight w:val="0"/>
      <w:marTop w:val="0"/>
      <w:marBottom w:val="0"/>
      <w:divBdr>
        <w:top w:val="none" w:sz="0" w:space="0" w:color="auto"/>
        <w:left w:val="none" w:sz="0" w:space="0" w:color="auto"/>
        <w:bottom w:val="none" w:sz="0" w:space="0" w:color="auto"/>
        <w:right w:val="none" w:sz="0" w:space="0" w:color="auto"/>
      </w:divBdr>
    </w:div>
    <w:div w:id="187836789">
      <w:bodyDiv w:val="1"/>
      <w:marLeft w:val="0"/>
      <w:marRight w:val="0"/>
      <w:marTop w:val="0"/>
      <w:marBottom w:val="0"/>
      <w:divBdr>
        <w:top w:val="none" w:sz="0" w:space="0" w:color="auto"/>
        <w:left w:val="none" w:sz="0" w:space="0" w:color="auto"/>
        <w:bottom w:val="none" w:sz="0" w:space="0" w:color="auto"/>
        <w:right w:val="none" w:sz="0" w:space="0" w:color="auto"/>
      </w:divBdr>
    </w:div>
    <w:div w:id="236594600">
      <w:bodyDiv w:val="1"/>
      <w:marLeft w:val="0"/>
      <w:marRight w:val="0"/>
      <w:marTop w:val="0"/>
      <w:marBottom w:val="0"/>
      <w:divBdr>
        <w:top w:val="none" w:sz="0" w:space="0" w:color="auto"/>
        <w:left w:val="none" w:sz="0" w:space="0" w:color="auto"/>
        <w:bottom w:val="none" w:sz="0" w:space="0" w:color="auto"/>
        <w:right w:val="none" w:sz="0" w:space="0" w:color="auto"/>
      </w:divBdr>
    </w:div>
    <w:div w:id="243537804">
      <w:bodyDiv w:val="1"/>
      <w:marLeft w:val="0"/>
      <w:marRight w:val="0"/>
      <w:marTop w:val="0"/>
      <w:marBottom w:val="0"/>
      <w:divBdr>
        <w:top w:val="none" w:sz="0" w:space="0" w:color="auto"/>
        <w:left w:val="none" w:sz="0" w:space="0" w:color="auto"/>
        <w:bottom w:val="none" w:sz="0" w:space="0" w:color="auto"/>
        <w:right w:val="none" w:sz="0" w:space="0" w:color="auto"/>
      </w:divBdr>
    </w:div>
    <w:div w:id="313990909">
      <w:bodyDiv w:val="1"/>
      <w:marLeft w:val="0"/>
      <w:marRight w:val="0"/>
      <w:marTop w:val="0"/>
      <w:marBottom w:val="0"/>
      <w:divBdr>
        <w:top w:val="none" w:sz="0" w:space="0" w:color="auto"/>
        <w:left w:val="none" w:sz="0" w:space="0" w:color="auto"/>
        <w:bottom w:val="none" w:sz="0" w:space="0" w:color="auto"/>
        <w:right w:val="none" w:sz="0" w:space="0" w:color="auto"/>
      </w:divBdr>
    </w:div>
    <w:div w:id="428551269">
      <w:bodyDiv w:val="1"/>
      <w:marLeft w:val="0"/>
      <w:marRight w:val="0"/>
      <w:marTop w:val="0"/>
      <w:marBottom w:val="0"/>
      <w:divBdr>
        <w:top w:val="none" w:sz="0" w:space="0" w:color="auto"/>
        <w:left w:val="none" w:sz="0" w:space="0" w:color="auto"/>
        <w:bottom w:val="none" w:sz="0" w:space="0" w:color="auto"/>
        <w:right w:val="none" w:sz="0" w:space="0" w:color="auto"/>
      </w:divBdr>
    </w:div>
    <w:div w:id="453796618">
      <w:bodyDiv w:val="1"/>
      <w:marLeft w:val="0"/>
      <w:marRight w:val="0"/>
      <w:marTop w:val="0"/>
      <w:marBottom w:val="0"/>
      <w:divBdr>
        <w:top w:val="none" w:sz="0" w:space="0" w:color="auto"/>
        <w:left w:val="none" w:sz="0" w:space="0" w:color="auto"/>
        <w:bottom w:val="none" w:sz="0" w:space="0" w:color="auto"/>
        <w:right w:val="none" w:sz="0" w:space="0" w:color="auto"/>
      </w:divBdr>
    </w:div>
    <w:div w:id="477960564">
      <w:bodyDiv w:val="1"/>
      <w:marLeft w:val="0"/>
      <w:marRight w:val="0"/>
      <w:marTop w:val="0"/>
      <w:marBottom w:val="0"/>
      <w:divBdr>
        <w:top w:val="none" w:sz="0" w:space="0" w:color="auto"/>
        <w:left w:val="none" w:sz="0" w:space="0" w:color="auto"/>
        <w:bottom w:val="none" w:sz="0" w:space="0" w:color="auto"/>
        <w:right w:val="none" w:sz="0" w:space="0" w:color="auto"/>
      </w:divBdr>
    </w:div>
    <w:div w:id="520972572">
      <w:bodyDiv w:val="1"/>
      <w:marLeft w:val="0"/>
      <w:marRight w:val="0"/>
      <w:marTop w:val="0"/>
      <w:marBottom w:val="0"/>
      <w:divBdr>
        <w:top w:val="none" w:sz="0" w:space="0" w:color="auto"/>
        <w:left w:val="none" w:sz="0" w:space="0" w:color="auto"/>
        <w:bottom w:val="none" w:sz="0" w:space="0" w:color="auto"/>
        <w:right w:val="none" w:sz="0" w:space="0" w:color="auto"/>
      </w:divBdr>
    </w:div>
    <w:div w:id="566116185">
      <w:bodyDiv w:val="1"/>
      <w:marLeft w:val="0"/>
      <w:marRight w:val="0"/>
      <w:marTop w:val="0"/>
      <w:marBottom w:val="0"/>
      <w:divBdr>
        <w:top w:val="none" w:sz="0" w:space="0" w:color="auto"/>
        <w:left w:val="none" w:sz="0" w:space="0" w:color="auto"/>
        <w:bottom w:val="none" w:sz="0" w:space="0" w:color="auto"/>
        <w:right w:val="none" w:sz="0" w:space="0" w:color="auto"/>
      </w:divBdr>
    </w:div>
    <w:div w:id="570700767">
      <w:bodyDiv w:val="1"/>
      <w:marLeft w:val="0"/>
      <w:marRight w:val="0"/>
      <w:marTop w:val="0"/>
      <w:marBottom w:val="0"/>
      <w:divBdr>
        <w:top w:val="none" w:sz="0" w:space="0" w:color="auto"/>
        <w:left w:val="none" w:sz="0" w:space="0" w:color="auto"/>
        <w:bottom w:val="none" w:sz="0" w:space="0" w:color="auto"/>
        <w:right w:val="none" w:sz="0" w:space="0" w:color="auto"/>
      </w:divBdr>
    </w:div>
    <w:div w:id="702822497">
      <w:bodyDiv w:val="1"/>
      <w:marLeft w:val="0"/>
      <w:marRight w:val="0"/>
      <w:marTop w:val="0"/>
      <w:marBottom w:val="0"/>
      <w:divBdr>
        <w:top w:val="none" w:sz="0" w:space="0" w:color="auto"/>
        <w:left w:val="none" w:sz="0" w:space="0" w:color="auto"/>
        <w:bottom w:val="none" w:sz="0" w:space="0" w:color="auto"/>
        <w:right w:val="none" w:sz="0" w:space="0" w:color="auto"/>
      </w:divBdr>
    </w:div>
    <w:div w:id="703596747">
      <w:bodyDiv w:val="1"/>
      <w:marLeft w:val="0"/>
      <w:marRight w:val="0"/>
      <w:marTop w:val="0"/>
      <w:marBottom w:val="0"/>
      <w:divBdr>
        <w:top w:val="none" w:sz="0" w:space="0" w:color="auto"/>
        <w:left w:val="none" w:sz="0" w:space="0" w:color="auto"/>
        <w:bottom w:val="none" w:sz="0" w:space="0" w:color="auto"/>
        <w:right w:val="none" w:sz="0" w:space="0" w:color="auto"/>
      </w:divBdr>
      <w:divsChild>
        <w:div w:id="1111703931">
          <w:marLeft w:val="0"/>
          <w:marRight w:val="0"/>
          <w:marTop w:val="0"/>
          <w:marBottom w:val="0"/>
          <w:divBdr>
            <w:top w:val="none" w:sz="0" w:space="0" w:color="auto"/>
            <w:left w:val="none" w:sz="0" w:space="0" w:color="auto"/>
            <w:bottom w:val="none" w:sz="0" w:space="0" w:color="auto"/>
            <w:right w:val="none" w:sz="0" w:space="0" w:color="auto"/>
          </w:divBdr>
          <w:divsChild>
            <w:div w:id="113209237">
              <w:marLeft w:val="0"/>
              <w:marRight w:val="0"/>
              <w:marTop w:val="0"/>
              <w:marBottom w:val="0"/>
              <w:divBdr>
                <w:top w:val="none" w:sz="0" w:space="0" w:color="auto"/>
                <w:left w:val="none" w:sz="0" w:space="0" w:color="auto"/>
                <w:bottom w:val="none" w:sz="0" w:space="0" w:color="auto"/>
                <w:right w:val="none" w:sz="0" w:space="0" w:color="auto"/>
              </w:divBdr>
              <w:divsChild>
                <w:div w:id="115874751">
                  <w:marLeft w:val="0"/>
                  <w:marRight w:val="0"/>
                  <w:marTop w:val="0"/>
                  <w:marBottom w:val="0"/>
                  <w:divBdr>
                    <w:top w:val="none" w:sz="0" w:space="0" w:color="auto"/>
                    <w:left w:val="none" w:sz="0" w:space="0" w:color="auto"/>
                    <w:bottom w:val="none" w:sz="0" w:space="0" w:color="auto"/>
                    <w:right w:val="none" w:sz="0" w:space="0" w:color="auto"/>
                  </w:divBdr>
                  <w:divsChild>
                    <w:div w:id="1777678647">
                      <w:marLeft w:val="0"/>
                      <w:marRight w:val="0"/>
                      <w:marTop w:val="0"/>
                      <w:marBottom w:val="0"/>
                      <w:divBdr>
                        <w:top w:val="none" w:sz="0" w:space="0" w:color="auto"/>
                        <w:left w:val="none" w:sz="0" w:space="0" w:color="auto"/>
                        <w:bottom w:val="none" w:sz="0" w:space="0" w:color="auto"/>
                        <w:right w:val="none" w:sz="0" w:space="0" w:color="auto"/>
                      </w:divBdr>
                      <w:divsChild>
                        <w:div w:id="2121412160">
                          <w:marLeft w:val="0"/>
                          <w:marRight w:val="0"/>
                          <w:marTop w:val="0"/>
                          <w:marBottom w:val="0"/>
                          <w:divBdr>
                            <w:top w:val="none" w:sz="0" w:space="0" w:color="auto"/>
                            <w:left w:val="none" w:sz="0" w:space="0" w:color="auto"/>
                            <w:bottom w:val="none" w:sz="0" w:space="0" w:color="auto"/>
                            <w:right w:val="none" w:sz="0" w:space="0" w:color="auto"/>
                          </w:divBdr>
                          <w:divsChild>
                            <w:div w:id="21096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4791174">
      <w:bodyDiv w:val="1"/>
      <w:marLeft w:val="0"/>
      <w:marRight w:val="0"/>
      <w:marTop w:val="0"/>
      <w:marBottom w:val="0"/>
      <w:divBdr>
        <w:top w:val="none" w:sz="0" w:space="0" w:color="auto"/>
        <w:left w:val="none" w:sz="0" w:space="0" w:color="auto"/>
        <w:bottom w:val="none" w:sz="0" w:space="0" w:color="auto"/>
        <w:right w:val="none" w:sz="0" w:space="0" w:color="auto"/>
      </w:divBdr>
    </w:div>
    <w:div w:id="846670732">
      <w:bodyDiv w:val="1"/>
      <w:marLeft w:val="0"/>
      <w:marRight w:val="0"/>
      <w:marTop w:val="0"/>
      <w:marBottom w:val="0"/>
      <w:divBdr>
        <w:top w:val="none" w:sz="0" w:space="0" w:color="auto"/>
        <w:left w:val="none" w:sz="0" w:space="0" w:color="auto"/>
        <w:bottom w:val="none" w:sz="0" w:space="0" w:color="auto"/>
        <w:right w:val="none" w:sz="0" w:space="0" w:color="auto"/>
      </w:divBdr>
    </w:div>
    <w:div w:id="1022822939">
      <w:bodyDiv w:val="1"/>
      <w:marLeft w:val="0"/>
      <w:marRight w:val="0"/>
      <w:marTop w:val="0"/>
      <w:marBottom w:val="0"/>
      <w:divBdr>
        <w:top w:val="none" w:sz="0" w:space="0" w:color="auto"/>
        <w:left w:val="none" w:sz="0" w:space="0" w:color="auto"/>
        <w:bottom w:val="none" w:sz="0" w:space="0" w:color="auto"/>
        <w:right w:val="none" w:sz="0" w:space="0" w:color="auto"/>
      </w:divBdr>
    </w:div>
    <w:div w:id="1051880158">
      <w:bodyDiv w:val="1"/>
      <w:marLeft w:val="0"/>
      <w:marRight w:val="0"/>
      <w:marTop w:val="0"/>
      <w:marBottom w:val="0"/>
      <w:divBdr>
        <w:top w:val="none" w:sz="0" w:space="0" w:color="auto"/>
        <w:left w:val="none" w:sz="0" w:space="0" w:color="auto"/>
        <w:bottom w:val="none" w:sz="0" w:space="0" w:color="auto"/>
        <w:right w:val="none" w:sz="0" w:space="0" w:color="auto"/>
      </w:divBdr>
    </w:div>
    <w:div w:id="1098911249">
      <w:bodyDiv w:val="1"/>
      <w:marLeft w:val="0"/>
      <w:marRight w:val="0"/>
      <w:marTop w:val="0"/>
      <w:marBottom w:val="0"/>
      <w:divBdr>
        <w:top w:val="none" w:sz="0" w:space="0" w:color="auto"/>
        <w:left w:val="none" w:sz="0" w:space="0" w:color="auto"/>
        <w:bottom w:val="none" w:sz="0" w:space="0" w:color="auto"/>
        <w:right w:val="none" w:sz="0" w:space="0" w:color="auto"/>
      </w:divBdr>
    </w:div>
    <w:div w:id="1124039850">
      <w:bodyDiv w:val="1"/>
      <w:marLeft w:val="0"/>
      <w:marRight w:val="0"/>
      <w:marTop w:val="0"/>
      <w:marBottom w:val="0"/>
      <w:divBdr>
        <w:top w:val="none" w:sz="0" w:space="0" w:color="auto"/>
        <w:left w:val="none" w:sz="0" w:space="0" w:color="auto"/>
        <w:bottom w:val="none" w:sz="0" w:space="0" w:color="auto"/>
        <w:right w:val="none" w:sz="0" w:space="0" w:color="auto"/>
      </w:divBdr>
    </w:div>
    <w:div w:id="1140152010">
      <w:bodyDiv w:val="1"/>
      <w:marLeft w:val="0"/>
      <w:marRight w:val="0"/>
      <w:marTop w:val="0"/>
      <w:marBottom w:val="0"/>
      <w:divBdr>
        <w:top w:val="none" w:sz="0" w:space="0" w:color="auto"/>
        <w:left w:val="none" w:sz="0" w:space="0" w:color="auto"/>
        <w:bottom w:val="none" w:sz="0" w:space="0" w:color="auto"/>
        <w:right w:val="none" w:sz="0" w:space="0" w:color="auto"/>
      </w:divBdr>
    </w:div>
    <w:div w:id="1161116894">
      <w:bodyDiv w:val="1"/>
      <w:marLeft w:val="0"/>
      <w:marRight w:val="0"/>
      <w:marTop w:val="0"/>
      <w:marBottom w:val="0"/>
      <w:divBdr>
        <w:top w:val="none" w:sz="0" w:space="0" w:color="auto"/>
        <w:left w:val="none" w:sz="0" w:space="0" w:color="auto"/>
        <w:bottom w:val="none" w:sz="0" w:space="0" w:color="auto"/>
        <w:right w:val="none" w:sz="0" w:space="0" w:color="auto"/>
      </w:divBdr>
    </w:div>
    <w:div w:id="1225920128">
      <w:bodyDiv w:val="1"/>
      <w:marLeft w:val="0"/>
      <w:marRight w:val="0"/>
      <w:marTop w:val="0"/>
      <w:marBottom w:val="0"/>
      <w:divBdr>
        <w:top w:val="none" w:sz="0" w:space="0" w:color="auto"/>
        <w:left w:val="none" w:sz="0" w:space="0" w:color="auto"/>
        <w:bottom w:val="none" w:sz="0" w:space="0" w:color="auto"/>
        <w:right w:val="none" w:sz="0" w:space="0" w:color="auto"/>
      </w:divBdr>
    </w:div>
    <w:div w:id="1248156621">
      <w:bodyDiv w:val="1"/>
      <w:marLeft w:val="0"/>
      <w:marRight w:val="0"/>
      <w:marTop w:val="0"/>
      <w:marBottom w:val="0"/>
      <w:divBdr>
        <w:top w:val="none" w:sz="0" w:space="0" w:color="auto"/>
        <w:left w:val="none" w:sz="0" w:space="0" w:color="auto"/>
        <w:bottom w:val="none" w:sz="0" w:space="0" w:color="auto"/>
        <w:right w:val="none" w:sz="0" w:space="0" w:color="auto"/>
      </w:divBdr>
    </w:div>
    <w:div w:id="1331055358">
      <w:bodyDiv w:val="1"/>
      <w:marLeft w:val="0"/>
      <w:marRight w:val="0"/>
      <w:marTop w:val="0"/>
      <w:marBottom w:val="0"/>
      <w:divBdr>
        <w:top w:val="none" w:sz="0" w:space="0" w:color="auto"/>
        <w:left w:val="none" w:sz="0" w:space="0" w:color="auto"/>
        <w:bottom w:val="none" w:sz="0" w:space="0" w:color="auto"/>
        <w:right w:val="none" w:sz="0" w:space="0" w:color="auto"/>
      </w:divBdr>
    </w:div>
    <w:div w:id="1335841187">
      <w:bodyDiv w:val="1"/>
      <w:marLeft w:val="0"/>
      <w:marRight w:val="0"/>
      <w:marTop w:val="0"/>
      <w:marBottom w:val="0"/>
      <w:divBdr>
        <w:top w:val="none" w:sz="0" w:space="0" w:color="auto"/>
        <w:left w:val="none" w:sz="0" w:space="0" w:color="auto"/>
        <w:bottom w:val="none" w:sz="0" w:space="0" w:color="auto"/>
        <w:right w:val="none" w:sz="0" w:space="0" w:color="auto"/>
      </w:divBdr>
      <w:divsChild>
        <w:div w:id="1743327789">
          <w:marLeft w:val="0"/>
          <w:marRight w:val="0"/>
          <w:marTop w:val="0"/>
          <w:marBottom w:val="0"/>
          <w:divBdr>
            <w:top w:val="none" w:sz="0" w:space="0" w:color="auto"/>
            <w:left w:val="none" w:sz="0" w:space="0" w:color="auto"/>
            <w:bottom w:val="none" w:sz="0" w:space="0" w:color="auto"/>
            <w:right w:val="none" w:sz="0" w:space="0" w:color="auto"/>
          </w:divBdr>
          <w:divsChild>
            <w:div w:id="322899014">
              <w:marLeft w:val="0"/>
              <w:marRight w:val="0"/>
              <w:marTop w:val="0"/>
              <w:marBottom w:val="0"/>
              <w:divBdr>
                <w:top w:val="none" w:sz="0" w:space="0" w:color="auto"/>
                <w:left w:val="none" w:sz="0" w:space="0" w:color="auto"/>
                <w:bottom w:val="none" w:sz="0" w:space="0" w:color="auto"/>
                <w:right w:val="none" w:sz="0" w:space="0" w:color="auto"/>
              </w:divBdr>
              <w:divsChild>
                <w:div w:id="1034303195">
                  <w:marLeft w:val="0"/>
                  <w:marRight w:val="0"/>
                  <w:marTop w:val="0"/>
                  <w:marBottom w:val="0"/>
                  <w:divBdr>
                    <w:top w:val="none" w:sz="0" w:space="0" w:color="auto"/>
                    <w:left w:val="none" w:sz="0" w:space="0" w:color="auto"/>
                    <w:bottom w:val="none" w:sz="0" w:space="0" w:color="auto"/>
                    <w:right w:val="none" w:sz="0" w:space="0" w:color="auto"/>
                  </w:divBdr>
                  <w:divsChild>
                    <w:div w:id="768238187">
                      <w:marLeft w:val="0"/>
                      <w:marRight w:val="0"/>
                      <w:marTop w:val="0"/>
                      <w:marBottom w:val="0"/>
                      <w:divBdr>
                        <w:top w:val="none" w:sz="0" w:space="0" w:color="auto"/>
                        <w:left w:val="none" w:sz="0" w:space="0" w:color="auto"/>
                        <w:bottom w:val="none" w:sz="0" w:space="0" w:color="auto"/>
                        <w:right w:val="none" w:sz="0" w:space="0" w:color="auto"/>
                      </w:divBdr>
                      <w:divsChild>
                        <w:div w:id="592475796">
                          <w:marLeft w:val="0"/>
                          <w:marRight w:val="0"/>
                          <w:marTop w:val="0"/>
                          <w:marBottom w:val="0"/>
                          <w:divBdr>
                            <w:top w:val="none" w:sz="0" w:space="0" w:color="auto"/>
                            <w:left w:val="none" w:sz="0" w:space="0" w:color="auto"/>
                            <w:bottom w:val="none" w:sz="0" w:space="0" w:color="auto"/>
                            <w:right w:val="none" w:sz="0" w:space="0" w:color="auto"/>
                          </w:divBdr>
                          <w:divsChild>
                            <w:div w:id="15296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6996244">
      <w:bodyDiv w:val="1"/>
      <w:marLeft w:val="0"/>
      <w:marRight w:val="0"/>
      <w:marTop w:val="0"/>
      <w:marBottom w:val="0"/>
      <w:divBdr>
        <w:top w:val="none" w:sz="0" w:space="0" w:color="auto"/>
        <w:left w:val="none" w:sz="0" w:space="0" w:color="auto"/>
        <w:bottom w:val="none" w:sz="0" w:space="0" w:color="auto"/>
        <w:right w:val="none" w:sz="0" w:space="0" w:color="auto"/>
      </w:divBdr>
    </w:div>
    <w:div w:id="1409766393">
      <w:bodyDiv w:val="1"/>
      <w:marLeft w:val="0"/>
      <w:marRight w:val="0"/>
      <w:marTop w:val="0"/>
      <w:marBottom w:val="0"/>
      <w:divBdr>
        <w:top w:val="none" w:sz="0" w:space="0" w:color="auto"/>
        <w:left w:val="none" w:sz="0" w:space="0" w:color="auto"/>
        <w:bottom w:val="none" w:sz="0" w:space="0" w:color="auto"/>
        <w:right w:val="none" w:sz="0" w:space="0" w:color="auto"/>
      </w:divBdr>
    </w:div>
    <w:div w:id="1561675807">
      <w:bodyDiv w:val="1"/>
      <w:marLeft w:val="0"/>
      <w:marRight w:val="0"/>
      <w:marTop w:val="0"/>
      <w:marBottom w:val="0"/>
      <w:divBdr>
        <w:top w:val="none" w:sz="0" w:space="0" w:color="auto"/>
        <w:left w:val="none" w:sz="0" w:space="0" w:color="auto"/>
        <w:bottom w:val="none" w:sz="0" w:space="0" w:color="auto"/>
        <w:right w:val="none" w:sz="0" w:space="0" w:color="auto"/>
      </w:divBdr>
    </w:div>
    <w:div w:id="1589003313">
      <w:bodyDiv w:val="1"/>
      <w:marLeft w:val="0"/>
      <w:marRight w:val="0"/>
      <w:marTop w:val="0"/>
      <w:marBottom w:val="0"/>
      <w:divBdr>
        <w:top w:val="none" w:sz="0" w:space="0" w:color="auto"/>
        <w:left w:val="none" w:sz="0" w:space="0" w:color="auto"/>
        <w:bottom w:val="none" w:sz="0" w:space="0" w:color="auto"/>
        <w:right w:val="none" w:sz="0" w:space="0" w:color="auto"/>
      </w:divBdr>
    </w:div>
    <w:div w:id="1643079634">
      <w:bodyDiv w:val="1"/>
      <w:marLeft w:val="0"/>
      <w:marRight w:val="0"/>
      <w:marTop w:val="0"/>
      <w:marBottom w:val="0"/>
      <w:divBdr>
        <w:top w:val="none" w:sz="0" w:space="0" w:color="auto"/>
        <w:left w:val="none" w:sz="0" w:space="0" w:color="auto"/>
        <w:bottom w:val="none" w:sz="0" w:space="0" w:color="auto"/>
        <w:right w:val="none" w:sz="0" w:space="0" w:color="auto"/>
      </w:divBdr>
    </w:div>
    <w:div w:id="1663703830">
      <w:bodyDiv w:val="1"/>
      <w:marLeft w:val="0"/>
      <w:marRight w:val="0"/>
      <w:marTop w:val="0"/>
      <w:marBottom w:val="0"/>
      <w:divBdr>
        <w:top w:val="none" w:sz="0" w:space="0" w:color="auto"/>
        <w:left w:val="none" w:sz="0" w:space="0" w:color="auto"/>
        <w:bottom w:val="none" w:sz="0" w:space="0" w:color="auto"/>
        <w:right w:val="none" w:sz="0" w:space="0" w:color="auto"/>
      </w:divBdr>
    </w:div>
    <w:div w:id="1681394436">
      <w:bodyDiv w:val="1"/>
      <w:marLeft w:val="0"/>
      <w:marRight w:val="0"/>
      <w:marTop w:val="0"/>
      <w:marBottom w:val="0"/>
      <w:divBdr>
        <w:top w:val="none" w:sz="0" w:space="0" w:color="auto"/>
        <w:left w:val="none" w:sz="0" w:space="0" w:color="auto"/>
        <w:bottom w:val="none" w:sz="0" w:space="0" w:color="auto"/>
        <w:right w:val="none" w:sz="0" w:space="0" w:color="auto"/>
      </w:divBdr>
    </w:div>
    <w:div w:id="1758166019">
      <w:bodyDiv w:val="1"/>
      <w:marLeft w:val="0"/>
      <w:marRight w:val="0"/>
      <w:marTop w:val="0"/>
      <w:marBottom w:val="0"/>
      <w:divBdr>
        <w:top w:val="none" w:sz="0" w:space="0" w:color="auto"/>
        <w:left w:val="none" w:sz="0" w:space="0" w:color="auto"/>
        <w:bottom w:val="none" w:sz="0" w:space="0" w:color="auto"/>
        <w:right w:val="none" w:sz="0" w:space="0" w:color="auto"/>
      </w:divBdr>
    </w:div>
    <w:div w:id="1852450159">
      <w:bodyDiv w:val="1"/>
      <w:marLeft w:val="0"/>
      <w:marRight w:val="0"/>
      <w:marTop w:val="0"/>
      <w:marBottom w:val="0"/>
      <w:divBdr>
        <w:top w:val="none" w:sz="0" w:space="0" w:color="auto"/>
        <w:left w:val="none" w:sz="0" w:space="0" w:color="auto"/>
        <w:bottom w:val="none" w:sz="0" w:space="0" w:color="auto"/>
        <w:right w:val="none" w:sz="0" w:space="0" w:color="auto"/>
      </w:divBdr>
    </w:div>
    <w:div w:id="2019036221">
      <w:bodyDiv w:val="1"/>
      <w:marLeft w:val="0"/>
      <w:marRight w:val="0"/>
      <w:marTop w:val="0"/>
      <w:marBottom w:val="0"/>
      <w:divBdr>
        <w:top w:val="none" w:sz="0" w:space="0" w:color="auto"/>
        <w:left w:val="none" w:sz="0" w:space="0" w:color="auto"/>
        <w:bottom w:val="none" w:sz="0" w:space="0" w:color="auto"/>
        <w:right w:val="none" w:sz="0" w:space="0" w:color="auto"/>
      </w:divBdr>
    </w:div>
    <w:div w:id="2045708288">
      <w:bodyDiv w:val="1"/>
      <w:marLeft w:val="0"/>
      <w:marRight w:val="0"/>
      <w:marTop w:val="0"/>
      <w:marBottom w:val="0"/>
      <w:divBdr>
        <w:top w:val="none" w:sz="0" w:space="0" w:color="auto"/>
        <w:left w:val="none" w:sz="0" w:space="0" w:color="auto"/>
        <w:bottom w:val="none" w:sz="0" w:space="0" w:color="auto"/>
        <w:right w:val="none" w:sz="0" w:space="0" w:color="auto"/>
      </w:divBdr>
    </w:div>
    <w:div w:id="214095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15a6e0d-a6d3-4cd3-b965-fdb27d6c66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95B054817CC43B4543E4ED364C33A" ma:contentTypeVersion="16" ma:contentTypeDescription="Create a new document." ma:contentTypeScope="" ma:versionID="d28f206e6c52eee5c175cf8c512f163b">
  <xsd:schema xmlns:xsd="http://www.w3.org/2001/XMLSchema" xmlns:xs="http://www.w3.org/2001/XMLSchema" xmlns:p="http://schemas.microsoft.com/office/2006/metadata/properties" xmlns:ns3="115a6e0d-a6d3-4cd3-b965-fdb27d6c66c3" xmlns:ns4="a471eee1-5afe-4605-a7e1-85a80c306664" targetNamespace="http://schemas.microsoft.com/office/2006/metadata/properties" ma:root="true" ma:fieldsID="f8eaad725bcbb51d7c361b976c3d921a" ns3:_="" ns4:_="">
    <xsd:import namespace="115a6e0d-a6d3-4cd3-b965-fdb27d6c66c3"/>
    <xsd:import namespace="a471eee1-5afe-4605-a7e1-85a80c30666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6e0d-a6d3-4cd3-b965-fdb27d6c6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1eee1-5afe-4605-a7e1-85a80c30666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788B3-E4DC-4B03-9A76-FDF5AE022CA8}">
  <ds:schemaRefs>
    <ds:schemaRef ds:uri="http://schemas.microsoft.com/office/2006/metadata/properties"/>
    <ds:schemaRef ds:uri="http://schemas.microsoft.com/office/infopath/2007/PartnerControls"/>
    <ds:schemaRef ds:uri="115a6e0d-a6d3-4cd3-b965-fdb27d6c66c3"/>
  </ds:schemaRefs>
</ds:datastoreItem>
</file>

<file path=customXml/itemProps2.xml><?xml version="1.0" encoding="utf-8"?>
<ds:datastoreItem xmlns:ds="http://schemas.openxmlformats.org/officeDocument/2006/customXml" ds:itemID="{7642126A-FB92-4DDE-ADEC-8E75B81B81B4}">
  <ds:schemaRefs>
    <ds:schemaRef ds:uri="http://schemas.microsoft.com/sharepoint/v3/contenttype/forms"/>
  </ds:schemaRefs>
</ds:datastoreItem>
</file>

<file path=customXml/itemProps3.xml><?xml version="1.0" encoding="utf-8"?>
<ds:datastoreItem xmlns:ds="http://schemas.openxmlformats.org/officeDocument/2006/customXml" ds:itemID="{506E1E2F-119F-41C0-830F-E655365A7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5a6e0d-a6d3-4cd3-b965-fdb27d6c66c3"/>
    <ds:schemaRef ds:uri="a471eee1-5afe-4605-a7e1-85a80c306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9A8435-89D3-4C4E-8273-DE6CB3C2C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10</Pages>
  <Words>2434</Words>
  <Characters>13875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 C. Nanda</dc:creator>
  <cp:lastModifiedBy>Suvodip Saha</cp:lastModifiedBy>
  <cp:revision>1511</cp:revision>
  <cp:lastPrinted>2025-09-15T10:06:00Z</cp:lastPrinted>
  <dcterms:created xsi:type="dcterms:W3CDTF">2024-10-21T05:09:00Z</dcterms:created>
  <dcterms:modified xsi:type="dcterms:W3CDTF">2025-11-28T12:19:00Z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-1000051737</vt:i4>
  </property>
  <property fmtid="{D5CDD505-2E9C-101B-9397-08002B2CF9AE}" pid="3" name="GrammarlyDocumentId">
    <vt:lpwstr>726fe04a0539c92a70f330fdf516f48717685001ea5e750fab03591ff22b8e75</vt:lpwstr>
  </property>
  <property fmtid="{D5CDD505-2E9C-101B-9397-08002B2CF9AE}" pid="4" name="ContentTypeId">
    <vt:lpwstr>0x01010047695B054817CC43B4543E4ED364C33A</vt:lpwstr>
  </property>
</Properties>
</file>